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A2" w:rsidRDefault="008D03A2" w:rsidP="008D03A2">
      <w:pPr>
        <w:spacing w:line="240" w:lineRule="auto"/>
        <w:jc w:val="center"/>
        <w:rPr>
          <w:rFonts w:ascii="Arial Narrow" w:hAnsi="Arial Narrow"/>
          <w:b/>
          <w:sz w:val="24"/>
          <w:szCs w:val="24"/>
        </w:rPr>
      </w:pPr>
      <w:r w:rsidRPr="008D03A2">
        <w:rPr>
          <w:rFonts w:ascii="Arial Narrow" w:hAnsi="Arial Narrow"/>
          <w:b/>
          <w:sz w:val="24"/>
          <w:szCs w:val="24"/>
        </w:rPr>
        <w:t>Aerospace Engineering Proposal and Budget</w:t>
      </w:r>
      <w:r>
        <w:rPr>
          <w:rFonts w:ascii="Arial Narrow" w:hAnsi="Arial Narrow"/>
          <w:b/>
          <w:sz w:val="24"/>
          <w:szCs w:val="24"/>
        </w:rPr>
        <w:t xml:space="preserve"> </w:t>
      </w:r>
      <w:r w:rsidRPr="008D03A2">
        <w:rPr>
          <w:rFonts w:ascii="Arial Narrow" w:hAnsi="Arial Narrow"/>
          <w:b/>
          <w:sz w:val="24"/>
          <w:szCs w:val="24"/>
        </w:rPr>
        <w:t>Fact Sheet</w:t>
      </w:r>
    </w:p>
    <w:tbl>
      <w:tblPr>
        <w:tblStyle w:val="TableGrid"/>
        <w:tblW w:w="11195" w:type="dxa"/>
        <w:tblLook w:val="04A0" w:firstRow="1" w:lastRow="0" w:firstColumn="1" w:lastColumn="0" w:noHBand="0" w:noVBand="1"/>
      </w:tblPr>
      <w:tblGrid>
        <w:gridCol w:w="1357"/>
        <w:gridCol w:w="2508"/>
        <w:gridCol w:w="3330"/>
        <w:gridCol w:w="3762"/>
        <w:gridCol w:w="238"/>
      </w:tblGrid>
      <w:tr w:rsidR="008D03A2" w:rsidTr="00CF7E57">
        <w:trPr>
          <w:gridAfter w:val="1"/>
          <w:wAfter w:w="238" w:type="dxa"/>
          <w:trHeight w:val="278"/>
        </w:trPr>
        <w:tc>
          <w:tcPr>
            <w:tcW w:w="10957" w:type="dxa"/>
            <w:gridSpan w:val="4"/>
            <w:shd w:val="clear" w:color="auto" w:fill="FFD966" w:themeFill="accent4" w:themeFillTint="99"/>
          </w:tcPr>
          <w:p w:rsidR="008D03A2" w:rsidRPr="002B3425" w:rsidRDefault="008D03A2" w:rsidP="008D03A2">
            <w:pPr>
              <w:jc w:val="center"/>
              <w:rPr>
                <w:rFonts w:ascii="Arial Narrow" w:hAnsi="Arial Narrow"/>
                <w:b/>
                <w:sz w:val="24"/>
                <w:szCs w:val="24"/>
              </w:rPr>
            </w:pPr>
            <w:r w:rsidRPr="002B3425">
              <w:rPr>
                <w:rFonts w:ascii="Arial Narrow" w:hAnsi="Arial Narrow"/>
                <w:b/>
                <w:sz w:val="24"/>
                <w:szCs w:val="24"/>
              </w:rPr>
              <w:t>GaTech Organizational Codes and Numbers</w:t>
            </w:r>
          </w:p>
        </w:tc>
      </w:tr>
      <w:tr w:rsidR="00A358E4" w:rsidTr="00CF7E57">
        <w:trPr>
          <w:gridAfter w:val="1"/>
          <w:wAfter w:w="238" w:type="dxa"/>
          <w:trHeight w:val="263"/>
        </w:trPr>
        <w:tc>
          <w:tcPr>
            <w:tcW w:w="10957" w:type="dxa"/>
            <w:gridSpan w:val="4"/>
            <w:shd w:val="clear" w:color="auto" w:fill="DEEAF6" w:themeFill="accent1" w:themeFillTint="33"/>
          </w:tcPr>
          <w:p w:rsidR="00A358E4" w:rsidRPr="00A358E4" w:rsidRDefault="00A358E4" w:rsidP="00A358E4">
            <w:pPr>
              <w:rPr>
                <w:rFonts w:ascii="Arial Narrow" w:hAnsi="Arial Narrow"/>
                <w:b/>
              </w:rPr>
            </w:pPr>
            <w:r w:rsidRPr="00A358E4">
              <w:rPr>
                <w:rFonts w:ascii="Arial Narrow" w:hAnsi="Arial Narrow"/>
                <w:b/>
              </w:rPr>
              <w:t>Georgia Tech Research Corporation: 505 10</w:t>
            </w:r>
            <w:r w:rsidRPr="00A358E4">
              <w:rPr>
                <w:rFonts w:ascii="Arial Narrow" w:hAnsi="Arial Narrow"/>
                <w:b/>
                <w:vertAlign w:val="superscript"/>
              </w:rPr>
              <w:t>th</w:t>
            </w:r>
            <w:r w:rsidRPr="00A358E4">
              <w:rPr>
                <w:rFonts w:ascii="Arial Narrow" w:hAnsi="Arial Narrow"/>
                <w:b/>
              </w:rPr>
              <w:t xml:space="preserve"> Street, NW, Atl. GA 30332-0420 </w:t>
            </w:r>
          </w:p>
        </w:tc>
      </w:tr>
      <w:tr w:rsidR="008D03A2" w:rsidTr="007C6D4D">
        <w:trPr>
          <w:gridAfter w:val="1"/>
          <w:wAfter w:w="238" w:type="dxa"/>
          <w:trHeight w:val="464"/>
        </w:trPr>
        <w:tc>
          <w:tcPr>
            <w:tcW w:w="1357" w:type="dxa"/>
            <w:tcBorders>
              <w:bottom w:val="single" w:sz="4" w:space="0" w:color="auto"/>
            </w:tcBorders>
          </w:tcPr>
          <w:p w:rsidR="008D03A2" w:rsidRPr="0088671B" w:rsidRDefault="008D03A2" w:rsidP="008D03A2">
            <w:pPr>
              <w:rPr>
                <w:rFonts w:ascii="Arial Narrow" w:hAnsi="Arial Narrow"/>
              </w:rPr>
            </w:pPr>
          </w:p>
        </w:tc>
        <w:tc>
          <w:tcPr>
            <w:tcW w:w="2508" w:type="dxa"/>
          </w:tcPr>
          <w:p w:rsidR="00A358E4" w:rsidRPr="002B3425" w:rsidRDefault="00A358E4" w:rsidP="00A358E4">
            <w:pPr>
              <w:rPr>
                <w:rFonts w:ascii="Cambria" w:hAnsi="Cambria"/>
                <w:sz w:val="20"/>
                <w:szCs w:val="20"/>
              </w:rPr>
            </w:pPr>
            <w:r w:rsidRPr="002B3425">
              <w:rPr>
                <w:rFonts w:ascii="Cambria" w:hAnsi="Cambria"/>
                <w:sz w:val="20"/>
                <w:szCs w:val="20"/>
              </w:rPr>
              <w:t xml:space="preserve">DUNS #: </w:t>
            </w:r>
            <w:r w:rsidRPr="002B3425">
              <w:rPr>
                <w:rFonts w:ascii="Cambria" w:hAnsi="Cambria"/>
                <w:b/>
                <w:sz w:val="20"/>
                <w:szCs w:val="20"/>
              </w:rPr>
              <w:t>09-739-4084</w:t>
            </w:r>
          </w:p>
          <w:p w:rsidR="0088671B" w:rsidRPr="002B3425" w:rsidRDefault="00A358E4" w:rsidP="00A358E4">
            <w:pPr>
              <w:rPr>
                <w:rFonts w:ascii="Cambria" w:hAnsi="Cambria"/>
                <w:sz w:val="20"/>
                <w:szCs w:val="20"/>
              </w:rPr>
            </w:pPr>
            <w:r w:rsidRPr="002B3425">
              <w:rPr>
                <w:rFonts w:ascii="Cambria" w:hAnsi="Cambria"/>
                <w:sz w:val="20"/>
                <w:szCs w:val="20"/>
              </w:rPr>
              <w:t>Dun &amp; Bradstreet</w:t>
            </w:r>
          </w:p>
        </w:tc>
        <w:tc>
          <w:tcPr>
            <w:tcW w:w="7092" w:type="dxa"/>
            <w:gridSpan w:val="2"/>
          </w:tcPr>
          <w:p w:rsidR="008D03A2" w:rsidRPr="002B3425" w:rsidRDefault="00A358E4" w:rsidP="00A358E4">
            <w:pPr>
              <w:rPr>
                <w:rFonts w:ascii="Cambria" w:hAnsi="Cambria"/>
                <w:sz w:val="20"/>
                <w:szCs w:val="20"/>
              </w:rPr>
            </w:pPr>
            <w:r w:rsidRPr="002B3425">
              <w:rPr>
                <w:rFonts w:ascii="Cambria" w:hAnsi="Cambria"/>
                <w:sz w:val="20"/>
                <w:szCs w:val="20"/>
              </w:rPr>
              <w:t xml:space="preserve">FEIN/FEID: Federal Employer Identification Number and Federal Tax Identification Number: </w:t>
            </w:r>
            <w:r w:rsidRPr="002B3425">
              <w:rPr>
                <w:rFonts w:ascii="Cambria" w:hAnsi="Cambria"/>
                <w:b/>
                <w:sz w:val="20"/>
                <w:szCs w:val="20"/>
              </w:rPr>
              <w:t>580603146</w:t>
            </w:r>
          </w:p>
        </w:tc>
      </w:tr>
      <w:tr w:rsidR="00A358E4" w:rsidTr="007C6D4D">
        <w:trPr>
          <w:gridAfter w:val="1"/>
          <w:wAfter w:w="238" w:type="dxa"/>
          <w:trHeight w:val="727"/>
        </w:trPr>
        <w:tc>
          <w:tcPr>
            <w:tcW w:w="1357" w:type="dxa"/>
            <w:tcBorders>
              <w:top w:val="single" w:sz="4" w:space="0" w:color="auto"/>
            </w:tcBorders>
          </w:tcPr>
          <w:p w:rsidR="00A358E4" w:rsidRPr="008D03A2" w:rsidRDefault="00A358E4" w:rsidP="008D03A2">
            <w:pPr>
              <w:rPr>
                <w:rFonts w:ascii="Arial Narrow" w:hAnsi="Arial Narrow"/>
              </w:rPr>
            </w:pPr>
          </w:p>
        </w:tc>
        <w:tc>
          <w:tcPr>
            <w:tcW w:w="2508" w:type="dxa"/>
          </w:tcPr>
          <w:p w:rsidR="00A358E4" w:rsidRPr="002B3425" w:rsidRDefault="00A358E4" w:rsidP="00A358E4">
            <w:pPr>
              <w:rPr>
                <w:rFonts w:ascii="Cambria" w:hAnsi="Cambria"/>
                <w:sz w:val="20"/>
                <w:szCs w:val="20"/>
              </w:rPr>
            </w:pPr>
            <w:r w:rsidRPr="002B3425">
              <w:rPr>
                <w:rFonts w:ascii="Cambria" w:hAnsi="Cambria"/>
                <w:sz w:val="20"/>
                <w:szCs w:val="20"/>
              </w:rPr>
              <w:t xml:space="preserve">CAGE Code: </w:t>
            </w:r>
            <w:r w:rsidRPr="002B3425">
              <w:rPr>
                <w:rFonts w:ascii="Cambria" w:hAnsi="Cambria"/>
                <w:b/>
                <w:sz w:val="20"/>
                <w:szCs w:val="20"/>
              </w:rPr>
              <w:t>1G474</w:t>
            </w:r>
          </w:p>
          <w:p w:rsidR="00A358E4" w:rsidRPr="002B3425" w:rsidRDefault="00A358E4" w:rsidP="00A358E4">
            <w:pPr>
              <w:rPr>
                <w:rFonts w:ascii="Cambria" w:hAnsi="Cambria"/>
                <w:sz w:val="20"/>
                <w:szCs w:val="20"/>
              </w:rPr>
            </w:pPr>
            <w:r w:rsidRPr="002B3425">
              <w:rPr>
                <w:rFonts w:ascii="Cambria" w:hAnsi="Cambria"/>
                <w:sz w:val="20"/>
                <w:szCs w:val="20"/>
              </w:rPr>
              <w:t>Commercial and Government Entity</w:t>
            </w:r>
          </w:p>
        </w:tc>
        <w:tc>
          <w:tcPr>
            <w:tcW w:w="7092" w:type="dxa"/>
            <w:gridSpan w:val="2"/>
          </w:tcPr>
          <w:p w:rsidR="00A358E4" w:rsidRPr="002B3425" w:rsidRDefault="00A358E4" w:rsidP="00A358E4">
            <w:pPr>
              <w:rPr>
                <w:rFonts w:ascii="Cambria" w:hAnsi="Cambria"/>
                <w:sz w:val="20"/>
                <w:szCs w:val="20"/>
              </w:rPr>
            </w:pPr>
            <w:r w:rsidRPr="002B3425">
              <w:rPr>
                <w:rFonts w:ascii="Cambria" w:hAnsi="Cambria"/>
                <w:sz w:val="20"/>
                <w:szCs w:val="20"/>
              </w:rPr>
              <w:t xml:space="preserve">Awardee Organization Code (NSF): </w:t>
            </w:r>
            <w:r w:rsidRPr="002B3425">
              <w:rPr>
                <w:rFonts w:ascii="Cambria" w:hAnsi="Cambria"/>
                <w:b/>
                <w:sz w:val="20"/>
                <w:szCs w:val="20"/>
              </w:rPr>
              <w:t>001569300</w:t>
            </w:r>
          </w:p>
        </w:tc>
      </w:tr>
      <w:tr w:rsidR="0088671B" w:rsidTr="00CF7E57">
        <w:trPr>
          <w:gridAfter w:val="1"/>
          <w:wAfter w:w="238" w:type="dxa"/>
          <w:trHeight w:val="263"/>
        </w:trPr>
        <w:tc>
          <w:tcPr>
            <w:tcW w:w="10957" w:type="dxa"/>
            <w:gridSpan w:val="4"/>
            <w:shd w:val="clear" w:color="auto" w:fill="DEEAF6" w:themeFill="accent1" w:themeFillTint="33"/>
          </w:tcPr>
          <w:p w:rsidR="0088671B" w:rsidRPr="00A358E4" w:rsidRDefault="00A358E4" w:rsidP="00A358E4">
            <w:pPr>
              <w:rPr>
                <w:rFonts w:ascii="Arial Narrow" w:hAnsi="Arial Narrow"/>
                <w:b/>
              </w:rPr>
            </w:pPr>
            <w:r w:rsidRPr="00A358E4">
              <w:rPr>
                <w:rFonts w:ascii="Arial Narrow" w:hAnsi="Arial Narrow"/>
                <w:b/>
              </w:rPr>
              <w:t>Georgia Tech Applied Research Corp. 505 10th Street, NW, Atlanta, GA 30332-0420</w:t>
            </w:r>
          </w:p>
        </w:tc>
      </w:tr>
      <w:tr w:rsidR="008D03A2" w:rsidTr="007C6D4D">
        <w:trPr>
          <w:gridAfter w:val="1"/>
          <w:wAfter w:w="238" w:type="dxa"/>
          <w:trHeight w:val="464"/>
        </w:trPr>
        <w:tc>
          <w:tcPr>
            <w:tcW w:w="1357" w:type="dxa"/>
            <w:tcBorders>
              <w:bottom w:val="nil"/>
            </w:tcBorders>
          </w:tcPr>
          <w:p w:rsidR="008D03A2" w:rsidRPr="00A358E4" w:rsidRDefault="008D03A2" w:rsidP="008D03A2">
            <w:pPr>
              <w:rPr>
                <w:rFonts w:ascii="Cambria" w:hAnsi="Cambria"/>
              </w:rPr>
            </w:pPr>
          </w:p>
        </w:tc>
        <w:tc>
          <w:tcPr>
            <w:tcW w:w="2508" w:type="dxa"/>
          </w:tcPr>
          <w:p w:rsidR="008D03A2" w:rsidRPr="002B3425" w:rsidRDefault="00A358E4" w:rsidP="008D03A2">
            <w:pPr>
              <w:rPr>
                <w:rFonts w:ascii="Cambria" w:hAnsi="Cambria"/>
                <w:sz w:val="20"/>
                <w:szCs w:val="20"/>
              </w:rPr>
            </w:pPr>
            <w:r w:rsidRPr="002B3425">
              <w:rPr>
                <w:rFonts w:ascii="Cambria" w:hAnsi="Cambria"/>
                <w:sz w:val="20"/>
                <w:szCs w:val="20"/>
              </w:rPr>
              <w:t xml:space="preserve">DUNS: </w:t>
            </w:r>
            <w:r w:rsidRPr="002B3425">
              <w:rPr>
                <w:rFonts w:ascii="Cambria" w:hAnsi="Cambria"/>
                <w:b/>
                <w:sz w:val="20"/>
                <w:szCs w:val="20"/>
              </w:rPr>
              <w:t>36-412-4651</w:t>
            </w:r>
          </w:p>
        </w:tc>
        <w:tc>
          <w:tcPr>
            <w:tcW w:w="7092" w:type="dxa"/>
            <w:gridSpan w:val="2"/>
          </w:tcPr>
          <w:p w:rsidR="008D03A2" w:rsidRPr="002B3425" w:rsidRDefault="00A358E4" w:rsidP="008D03A2">
            <w:pPr>
              <w:rPr>
                <w:rFonts w:ascii="Cambria" w:hAnsi="Cambria"/>
                <w:sz w:val="20"/>
                <w:szCs w:val="20"/>
              </w:rPr>
            </w:pPr>
            <w:r w:rsidRPr="002B3425">
              <w:rPr>
                <w:rFonts w:ascii="Cambria" w:hAnsi="Cambria"/>
                <w:sz w:val="20"/>
                <w:szCs w:val="20"/>
              </w:rPr>
              <w:t xml:space="preserve">FEIN/FEID: Federal Employer Identification Number and Federal Tax Identification Number: </w:t>
            </w:r>
            <w:r w:rsidRPr="002B3425">
              <w:rPr>
                <w:rFonts w:ascii="Cambria" w:hAnsi="Cambria"/>
                <w:b/>
                <w:sz w:val="20"/>
                <w:szCs w:val="20"/>
              </w:rPr>
              <w:t>582374837</w:t>
            </w:r>
          </w:p>
        </w:tc>
      </w:tr>
      <w:tr w:rsidR="00A358E4" w:rsidTr="007C6D4D">
        <w:trPr>
          <w:gridAfter w:val="1"/>
          <w:wAfter w:w="238" w:type="dxa"/>
          <w:trHeight w:val="727"/>
        </w:trPr>
        <w:tc>
          <w:tcPr>
            <w:tcW w:w="1357" w:type="dxa"/>
            <w:tcBorders>
              <w:top w:val="nil"/>
            </w:tcBorders>
          </w:tcPr>
          <w:p w:rsidR="00A358E4" w:rsidRPr="00A358E4" w:rsidRDefault="00A358E4" w:rsidP="008D03A2">
            <w:pPr>
              <w:rPr>
                <w:rFonts w:ascii="Cambria" w:hAnsi="Cambria"/>
              </w:rPr>
            </w:pPr>
          </w:p>
        </w:tc>
        <w:tc>
          <w:tcPr>
            <w:tcW w:w="2508" w:type="dxa"/>
          </w:tcPr>
          <w:p w:rsidR="00A358E4" w:rsidRPr="002B3425" w:rsidRDefault="00A358E4" w:rsidP="00A358E4">
            <w:pPr>
              <w:rPr>
                <w:rFonts w:ascii="Cambria" w:hAnsi="Cambria"/>
                <w:sz w:val="20"/>
                <w:szCs w:val="20"/>
              </w:rPr>
            </w:pPr>
            <w:r w:rsidRPr="002B3425">
              <w:rPr>
                <w:rFonts w:ascii="Cambria" w:hAnsi="Cambria"/>
                <w:sz w:val="20"/>
                <w:szCs w:val="20"/>
              </w:rPr>
              <w:t xml:space="preserve">CAGE Code: </w:t>
            </w:r>
            <w:r w:rsidRPr="002B3425">
              <w:rPr>
                <w:rFonts w:ascii="Cambria" w:hAnsi="Cambria"/>
                <w:b/>
                <w:sz w:val="20"/>
                <w:szCs w:val="20"/>
              </w:rPr>
              <w:t>1FEZ4</w:t>
            </w:r>
          </w:p>
          <w:p w:rsidR="00A358E4" w:rsidRPr="002B3425" w:rsidRDefault="00A358E4" w:rsidP="00A358E4">
            <w:pPr>
              <w:rPr>
                <w:rFonts w:ascii="Cambria" w:hAnsi="Cambria"/>
                <w:sz w:val="20"/>
                <w:szCs w:val="20"/>
              </w:rPr>
            </w:pPr>
            <w:r w:rsidRPr="002B3425">
              <w:rPr>
                <w:rFonts w:ascii="Cambria" w:hAnsi="Cambria"/>
                <w:sz w:val="20"/>
                <w:szCs w:val="20"/>
              </w:rPr>
              <w:t>Commercial and Government Entity</w:t>
            </w:r>
          </w:p>
        </w:tc>
        <w:tc>
          <w:tcPr>
            <w:tcW w:w="7092" w:type="dxa"/>
            <w:gridSpan w:val="2"/>
          </w:tcPr>
          <w:p w:rsidR="00A358E4" w:rsidRPr="002B3425" w:rsidRDefault="00A358E4" w:rsidP="008D03A2">
            <w:pPr>
              <w:rPr>
                <w:rFonts w:ascii="Cambria" w:hAnsi="Cambria"/>
                <w:sz w:val="20"/>
                <w:szCs w:val="20"/>
              </w:rPr>
            </w:pPr>
            <w:r w:rsidRPr="002B3425">
              <w:rPr>
                <w:rFonts w:ascii="Cambria" w:hAnsi="Cambria"/>
                <w:sz w:val="20"/>
                <w:szCs w:val="20"/>
              </w:rPr>
              <w:t xml:space="preserve">Awardee Organization Code (NSF): </w:t>
            </w:r>
            <w:r w:rsidRPr="002B3425">
              <w:rPr>
                <w:rFonts w:ascii="Cambria" w:hAnsi="Cambria"/>
                <w:b/>
                <w:sz w:val="20"/>
                <w:szCs w:val="20"/>
              </w:rPr>
              <w:t>5300012004</w:t>
            </w:r>
          </w:p>
        </w:tc>
      </w:tr>
      <w:tr w:rsidR="0088671B" w:rsidTr="007C6D4D">
        <w:trPr>
          <w:gridAfter w:val="1"/>
          <w:wAfter w:w="238" w:type="dxa"/>
          <w:trHeight w:val="727"/>
        </w:trPr>
        <w:tc>
          <w:tcPr>
            <w:tcW w:w="3865" w:type="dxa"/>
            <w:gridSpan w:val="2"/>
          </w:tcPr>
          <w:p w:rsidR="0088671B" w:rsidRPr="002B3425" w:rsidRDefault="0088671B" w:rsidP="0088671B">
            <w:pPr>
              <w:rPr>
                <w:rFonts w:ascii="Cambria" w:hAnsi="Cambria"/>
                <w:sz w:val="20"/>
                <w:szCs w:val="20"/>
              </w:rPr>
            </w:pPr>
            <w:r w:rsidRPr="002B3425">
              <w:rPr>
                <w:rFonts w:ascii="Cambria" w:hAnsi="Cambria"/>
                <w:b/>
                <w:sz w:val="20"/>
                <w:szCs w:val="20"/>
              </w:rPr>
              <w:t>Human Subject Assurance</w:t>
            </w:r>
            <w:r w:rsidRPr="002B3425">
              <w:rPr>
                <w:rFonts w:ascii="Cambria" w:hAnsi="Cambria"/>
                <w:sz w:val="20"/>
                <w:szCs w:val="20"/>
              </w:rPr>
              <w:t>: Federal Assurance (FWA): 00001731  | Expires 07/07/19</w:t>
            </w:r>
          </w:p>
        </w:tc>
        <w:tc>
          <w:tcPr>
            <w:tcW w:w="7092" w:type="dxa"/>
            <w:gridSpan w:val="2"/>
          </w:tcPr>
          <w:p w:rsidR="0088671B" w:rsidRPr="002B3425" w:rsidRDefault="0088671B" w:rsidP="0088671B">
            <w:pPr>
              <w:rPr>
                <w:rFonts w:ascii="Cambria" w:hAnsi="Cambria"/>
                <w:sz w:val="20"/>
                <w:szCs w:val="20"/>
              </w:rPr>
            </w:pPr>
            <w:r w:rsidRPr="002B3425">
              <w:rPr>
                <w:rFonts w:ascii="Cambria" w:hAnsi="Cambria"/>
                <w:b/>
                <w:sz w:val="20"/>
                <w:szCs w:val="20"/>
              </w:rPr>
              <w:t>Animal Welfare Assurance No</w:t>
            </w:r>
            <w:r w:rsidRPr="002B3425">
              <w:rPr>
                <w:rFonts w:ascii="Cambria" w:hAnsi="Cambria"/>
                <w:sz w:val="20"/>
                <w:szCs w:val="20"/>
              </w:rPr>
              <w:t>: D16-00474 (A3822-01) | Expires 09/30/20</w:t>
            </w:r>
          </w:p>
        </w:tc>
      </w:tr>
      <w:tr w:rsidR="00A358E4" w:rsidTr="00CF7E57">
        <w:trPr>
          <w:gridAfter w:val="1"/>
          <w:wAfter w:w="238" w:type="dxa"/>
          <w:trHeight w:val="960"/>
        </w:trPr>
        <w:tc>
          <w:tcPr>
            <w:tcW w:w="10957" w:type="dxa"/>
            <w:gridSpan w:val="4"/>
          </w:tcPr>
          <w:p w:rsidR="00A358E4" w:rsidRPr="002B3425" w:rsidRDefault="00A358E4" w:rsidP="00A358E4">
            <w:pPr>
              <w:rPr>
                <w:rFonts w:ascii="Cambria" w:hAnsi="Cambria"/>
                <w:b/>
                <w:sz w:val="20"/>
                <w:szCs w:val="20"/>
              </w:rPr>
            </w:pPr>
            <w:r w:rsidRPr="002B3425">
              <w:rPr>
                <w:rFonts w:ascii="Cambria" w:hAnsi="Cambria"/>
                <w:b/>
                <w:sz w:val="20"/>
                <w:szCs w:val="20"/>
              </w:rPr>
              <w:t>NAICS Codes: North American Industry Classification System</w:t>
            </w:r>
          </w:p>
          <w:p w:rsidR="00A358E4" w:rsidRPr="002B3425" w:rsidRDefault="00A358E4" w:rsidP="00A358E4">
            <w:pPr>
              <w:ind w:left="720"/>
              <w:rPr>
                <w:rFonts w:ascii="Cambria" w:hAnsi="Cambria"/>
                <w:sz w:val="20"/>
                <w:szCs w:val="20"/>
              </w:rPr>
            </w:pPr>
            <w:r w:rsidRPr="002B3425">
              <w:rPr>
                <w:rFonts w:ascii="Cambria" w:hAnsi="Cambria"/>
                <w:sz w:val="20"/>
                <w:szCs w:val="20"/>
              </w:rPr>
              <w:t>541711 - R&amp;D in Biotechnology</w:t>
            </w:r>
          </w:p>
          <w:p w:rsidR="00A358E4" w:rsidRPr="002B3425" w:rsidRDefault="00A358E4" w:rsidP="00A358E4">
            <w:pPr>
              <w:ind w:left="720"/>
              <w:rPr>
                <w:rFonts w:ascii="Cambria" w:hAnsi="Cambria"/>
                <w:sz w:val="20"/>
                <w:szCs w:val="20"/>
              </w:rPr>
            </w:pPr>
            <w:r w:rsidRPr="002B3425">
              <w:rPr>
                <w:rFonts w:ascii="Cambria" w:hAnsi="Cambria"/>
                <w:sz w:val="20"/>
                <w:szCs w:val="20"/>
              </w:rPr>
              <w:t xml:space="preserve">541712 - R&amp;D in Physical, </w:t>
            </w:r>
            <w:r w:rsidRPr="000F4451">
              <w:rPr>
                <w:rFonts w:ascii="Cambria" w:hAnsi="Cambria"/>
                <w:b/>
                <w:i/>
                <w:color w:val="00B0F0"/>
                <w:sz w:val="20"/>
                <w:szCs w:val="20"/>
              </w:rPr>
              <w:t>Engineering</w:t>
            </w:r>
            <w:r w:rsidRPr="002B3425">
              <w:rPr>
                <w:rFonts w:ascii="Cambria" w:hAnsi="Cambria"/>
                <w:sz w:val="20"/>
                <w:szCs w:val="20"/>
              </w:rPr>
              <w:t xml:space="preserve"> &amp; Life Sciences (excluding Biotechnology)</w:t>
            </w:r>
          </w:p>
          <w:p w:rsidR="00A358E4" w:rsidRPr="002B3425" w:rsidRDefault="00A358E4" w:rsidP="00A358E4">
            <w:pPr>
              <w:ind w:left="720"/>
              <w:rPr>
                <w:rFonts w:ascii="Cambria" w:hAnsi="Cambria"/>
                <w:sz w:val="20"/>
                <w:szCs w:val="20"/>
              </w:rPr>
            </w:pPr>
            <w:r w:rsidRPr="002B3425">
              <w:rPr>
                <w:rFonts w:ascii="Cambria" w:hAnsi="Cambria"/>
                <w:sz w:val="20"/>
                <w:szCs w:val="20"/>
              </w:rPr>
              <w:t xml:space="preserve">541720 - R&amp;D in Social Sciences &amp; Humanities </w:t>
            </w:r>
          </w:p>
        </w:tc>
      </w:tr>
      <w:tr w:rsidR="00E53F00" w:rsidTr="00CF7E57">
        <w:trPr>
          <w:gridAfter w:val="1"/>
          <w:wAfter w:w="238" w:type="dxa"/>
          <w:trHeight w:val="1208"/>
        </w:trPr>
        <w:tc>
          <w:tcPr>
            <w:tcW w:w="10957" w:type="dxa"/>
            <w:gridSpan w:val="4"/>
          </w:tcPr>
          <w:p w:rsidR="00E53F00" w:rsidRPr="002B3425" w:rsidRDefault="00E53F00" w:rsidP="008D03A2">
            <w:pPr>
              <w:rPr>
                <w:rFonts w:ascii="Cambria" w:hAnsi="Cambria"/>
                <w:b/>
                <w:sz w:val="20"/>
                <w:szCs w:val="20"/>
              </w:rPr>
            </w:pPr>
            <w:r w:rsidRPr="002B3425">
              <w:rPr>
                <w:rFonts w:ascii="Cambria" w:hAnsi="Cambria"/>
                <w:b/>
                <w:sz w:val="20"/>
                <w:szCs w:val="20"/>
              </w:rPr>
              <w:t>Congressional Districts:</w:t>
            </w:r>
          </w:p>
          <w:p w:rsidR="00E53F00" w:rsidRPr="002B3425" w:rsidRDefault="00E53F00" w:rsidP="00E53F00">
            <w:pPr>
              <w:ind w:left="720"/>
              <w:rPr>
                <w:rFonts w:ascii="Cambria" w:hAnsi="Cambria"/>
                <w:sz w:val="20"/>
                <w:szCs w:val="20"/>
              </w:rPr>
            </w:pPr>
            <w:r w:rsidRPr="002B3425">
              <w:rPr>
                <w:rFonts w:ascii="Cambria" w:hAnsi="Cambria"/>
                <w:sz w:val="20"/>
                <w:szCs w:val="20"/>
              </w:rPr>
              <w:t>United States: 5th</w:t>
            </w:r>
          </w:p>
          <w:p w:rsidR="00E53F00" w:rsidRPr="002B3425" w:rsidRDefault="00E53F00" w:rsidP="00E53F00">
            <w:pPr>
              <w:ind w:left="720"/>
              <w:rPr>
                <w:rFonts w:ascii="Cambria" w:hAnsi="Cambria"/>
                <w:sz w:val="20"/>
                <w:szCs w:val="20"/>
              </w:rPr>
            </w:pPr>
            <w:r w:rsidRPr="002B3425">
              <w:rPr>
                <w:rFonts w:ascii="Cambria" w:hAnsi="Cambria"/>
                <w:sz w:val="20"/>
                <w:szCs w:val="20"/>
              </w:rPr>
              <w:t>Georgia Senate: 39th</w:t>
            </w:r>
          </w:p>
          <w:p w:rsidR="00E53F00" w:rsidRPr="002B3425" w:rsidRDefault="00E53F00" w:rsidP="00E53F00">
            <w:pPr>
              <w:ind w:left="720"/>
              <w:rPr>
                <w:rFonts w:ascii="Cambria" w:hAnsi="Cambria"/>
                <w:sz w:val="20"/>
                <w:szCs w:val="20"/>
              </w:rPr>
            </w:pPr>
            <w:r w:rsidRPr="002B3425">
              <w:rPr>
                <w:rFonts w:ascii="Cambria" w:hAnsi="Cambria"/>
                <w:sz w:val="20"/>
                <w:szCs w:val="20"/>
              </w:rPr>
              <w:t>Georgia House of Representatives: 48th</w:t>
            </w:r>
          </w:p>
          <w:p w:rsidR="00E53F00" w:rsidRPr="002B3425" w:rsidRDefault="00E53F00" w:rsidP="00E53F00">
            <w:pPr>
              <w:ind w:left="720"/>
              <w:rPr>
                <w:rFonts w:ascii="Cambria" w:hAnsi="Cambria"/>
                <w:sz w:val="20"/>
                <w:szCs w:val="20"/>
              </w:rPr>
            </w:pPr>
            <w:r w:rsidRPr="002B3425">
              <w:rPr>
                <w:rFonts w:ascii="Cambria" w:hAnsi="Cambria"/>
                <w:sz w:val="20"/>
                <w:szCs w:val="20"/>
              </w:rPr>
              <w:t>Fulton County</w:t>
            </w:r>
          </w:p>
        </w:tc>
      </w:tr>
      <w:tr w:rsidR="00E53F00" w:rsidRPr="00A358E4" w:rsidTr="00CF7E57">
        <w:trPr>
          <w:gridAfter w:val="1"/>
          <w:wAfter w:w="238" w:type="dxa"/>
          <w:trHeight w:val="247"/>
        </w:trPr>
        <w:tc>
          <w:tcPr>
            <w:tcW w:w="10957" w:type="dxa"/>
            <w:gridSpan w:val="4"/>
            <w:shd w:val="clear" w:color="auto" w:fill="DEEAF6" w:themeFill="accent1" w:themeFillTint="33"/>
          </w:tcPr>
          <w:p w:rsidR="00E53F00" w:rsidRPr="00E53F00" w:rsidRDefault="00E53F00" w:rsidP="000D434D">
            <w:pPr>
              <w:rPr>
                <w:rFonts w:ascii="Cambria" w:hAnsi="Cambria"/>
                <w:b/>
              </w:rPr>
            </w:pPr>
            <w:r w:rsidRPr="00E53F00">
              <w:rPr>
                <w:rFonts w:ascii="Cambria" w:hAnsi="Cambria"/>
                <w:b/>
              </w:rPr>
              <w:t>Federal Cognizant Agency</w:t>
            </w:r>
          </w:p>
        </w:tc>
      </w:tr>
      <w:tr w:rsidR="00E53F00" w:rsidRPr="00A358E4" w:rsidTr="007C6D4D">
        <w:trPr>
          <w:gridAfter w:val="1"/>
          <w:wAfter w:w="238" w:type="dxa"/>
          <w:trHeight w:val="1456"/>
        </w:trPr>
        <w:tc>
          <w:tcPr>
            <w:tcW w:w="3865" w:type="dxa"/>
            <w:gridSpan w:val="2"/>
          </w:tcPr>
          <w:p w:rsidR="00E53F00" w:rsidRPr="002B3425" w:rsidRDefault="00E53F00" w:rsidP="00E53F00">
            <w:pPr>
              <w:rPr>
                <w:rFonts w:ascii="Cambria" w:hAnsi="Cambria"/>
                <w:sz w:val="20"/>
                <w:szCs w:val="20"/>
              </w:rPr>
            </w:pPr>
            <w:r w:rsidRPr="002B3425">
              <w:rPr>
                <w:rFonts w:ascii="Cambria" w:hAnsi="Cambria"/>
                <w:sz w:val="20"/>
                <w:szCs w:val="20"/>
              </w:rPr>
              <w:t>Office of Naval Research</w:t>
            </w:r>
          </w:p>
          <w:p w:rsidR="00E53F00" w:rsidRPr="002B3425" w:rsidRDefault="00E53F00" w:rsidP="00E53F00">
            <w:pPr>
              <w:rPr>
                <w:rFonts w:ascii="Cambria" w:hAnsi="Cambria"/>
                <w:sz w:val="20"/>
                <w:szCs w:val="20"/>
              </w:rPr>
            </w:pPr>
            <w:r w:rsidRPr="002B3425">
              <w:rPr>
                <w:rFonts w:ascii="Cambria" w:hAnsi="Cambria"/>
                <w:sz w:val="20"/>
                <w:szCs w:val="20"/>
              </w:rPr>
              <w:t>James Gandy</w:t>
            </w:r>
            <w:r w:rsidR="002177DC">
              <w:rPr>
                <w:rFonts w:ascii="Cambria" w:hAnsi="Cambria"/>
                <w:sz w:val="20"/>
                <w:szCs w:val="20"/>
              </w:rPr>
              <w:t>/Betty Tingle</w:t>
            </w:r>
          </w:p>
          <w:p w:rsidR="00E53F00" w:rsidRPr="002B3425" w:rsidRDefault="00E53F00" w:rsidP="00E53F00">
            <w:pPr>
              <w:rPr>
                <w:rFonts w:ascii="Cambria" w:hAnsi="Cambria"/>
                <w:sz w:val="20"/>
                <w:szCs w:val="20"/>
              </w:rPr>
            </w:pPr>
            <w:r w:rsidRPr="002B3425">
              <w:rPr>
                <w:rFonts w:ascii="Cambria" w:hAnsi="Cambria"/>
                <w:sz w:val="20"/>
                <w:szCs w:val="20"/>
              </w:rPr>
              <w:t>100 Alabama Street, NW</w:t>
            </w:r>
          </w:p>
          <w:p w:rsidR="00E53F00" w:rsidRPr="002B3425" w:rsidRDefault="00E53F00" w:rsidP="00E53F00">
            <w:pPr>
              <w:rPr>
                <w:rFonts w:ascii="Cambria" w:hAnsi="Cambria"/>
                <w:sz w:val="20"/>
                <w:szCs w:val="20"/>
              </w:rPr>
            </w:pPr>
            <w:r w:rsidRPr="002B3425">
              <w:rPr>
                <w:rFonts w:ascii="Cambria" w:hAnsi="Cambria"/>
                <w:sz w:val="20"/>
                <w:szCs w:val="20"/>
              </w:rPr>
              <w:t>Suite 4R15</w:t>
            </w:r>
          </w:p>
          <w:p w:rsidR="00E53F00" w:rsidRPr="002B3425" w:rsidRDefault="00E53F00" w:rsidP="00E53F00">
            <w:pPr>
              <w:rPr>
                <w:rFonts w:ascii="Cambria" w:hAnsi="Cambria"/>
                <w:sz w:val="20"/>
                <w:szCs w:val="20"/>
              </w:rPr>
            </w:pPr>
            <w:r w:rsidRPr="002B3425">
              <w:rPr>
                <w:rFonts w:ascii="Cambria" w:hAnsi="Cambria"/>
                <w:sz w:val="20"/>
                <w:szCs w:val="20"/>
              </w:rPr>
              <w:t>Atlanta, GA 30303-3104</w:t>
            </w:r>
          </w:p>
          <w:p w:rsidR="00E53F00" w:rsidRPr="00A358E4" w:rsidRDefault="00E53F00" w:rsidP="00E53F00">
            <w:pPr>
              <w:rPr>
                <w:rFonts w:ascii="Cambria" w:hAnsi="Cambria"/>
              </w:rPr>
            </w:pPr>
            <w:r w:rsidRPr="002B3425">
              <w:rPr>
                <w:rFonts w:ascii="Cambria" w:hAnsi="Cambria"/>
                <w:sz w:val="20"/>
                <w:szCs w:val="20"/>
              </w:rPr>
              <w:t>Phone: 770.635.0455</w:t>
            </w:r>
          </w:p>
        </w:tc>
        <w:tc>
          <w:tcPr>
            <w:tcW w:w="7092" w:type="dxa"/>
            <w:gridSpan w:val="2"/>
          </w:tcPr>
          <w:p w:rsidR="00E53F00" w:rsidRPr="00A358E4" w:rsidRDefault="00E53F00" w:rsidP="000D434D">
            <w:pPr>
              <w:rPr>
                <w:rFonts w:ascii="Cambria" w:hAnsi="Cambria"/>
              </w:rPr>
            </w:pPr>
          </w:p>
        </w:tc>
      </w:tr>
      <w:tr w:rsidR="00E53F00" w:rsidRPr="00A358E4" w:rsidTr="00CF7E57">
        <w:trPr>
          <w:gridAfter w:val="1"/>
          <w:wAfter w:w="238" w:type="dxa"/>
          <w:trHeight w:val="510"/>
        </w:trPr>
        <w:tc>
          <w:tcPr>
            <w:tcW w:w="10957" w:type="dxa"/>
            <w:gridSpan w:val="4"/>
            <w:shd w:val="clear" w:color="auto" w:fill="FFD966" w:themeFill="accent4" w:themeFillTint="99"/>
          </w:tcPr>
          <w:p w:rsidR="00E53F00" w:rsidRPr="00E53F00" w:rsidRDefault="00E53F00" w:rsidP="00E53F00">
            <w:pPr>
              <w:jc w:val="center"/>
              <w:rPr>
                <w:rFonts w:ascii="Arial Narrow" w:hAnsi="Arial Narrow"/>
                <w:b/>
              </w:rPr>
            </w:pPr>
            <w:r w:rsidRPr="00E53F00">
              <w:rPr>
                <w:rFonts w:ascii="Arial Narrow" w:hAnsi="Arial Narrow"/>
                <w:b/>
              </w:rPr>
              <w:t>SPONSOR SALARY LIMITATIONS (based on the U.S. Office of Personnel Management (OPM) Executive and Senior Level Employee Tables for 2018)</w:t>
            </w:r>
          </w:p>
        </w:tc>
      </w:tr>
      <w:tr w:rsidR="00E53F00" w:rsidRPr="00A358E4" w:rsidTr="00CF7E57">
        <w:trPr>
          <w:gridAfter w:val="1"/>
          <w:wAfter w:w="238" w:type="dxa"/>
          <w:trHeight w:val="960"/>
        </w:trPr>
        <w:tc>
          <w:tcPr>
            <w:tcW w:w="10957" w:type="dxa"/>
            <w:gridSpan w:val="4"/>
          </w:tcPr>
          <w:p w:rsidR="00E53F00" w:rsidRPr="002B3425" w:rsidRDefault="00E53F00" w:rsidP="00E53F00">
            <w:pPr>
              <w:rPr>
                <w:rFonts w:ascii="Cambria" w:hAnsi="Cambria"/>
                <w:sz w:val="20"/>
                <w:szCs w:val="20"/>
              </w:rPr>
            </w:pPr>
            <w:r w:rsidRPr="002B3425">
              <w:rPr>
                <w:rFonts w:ascii="Cambria" w:hAnsi="Cambria"/>
                <w:b/>
                <w:sz w:val="20"/>
                <w:szCs w:val="20"/>
              </w:rPr>
              <w:t>NSF Senior Personnel</w:t>
            </w:r>
            <w:r w:rsidRPr="002B3425">
              <w:rPr>
                <w:rFonts w:ascii="Cambria" w:hAnsi="Cambria"/>
                <w:sz w:val="20"/>
                <w:szCs w:val="20"/>
              </w:rPr>
              <w:t>: As a general policy, NSF limits salary compensation for senior project personnel to no more than two months of their regular salary in any one year (Summer through Spring semesters). This limit includes salary compensation received from all NSF funded grants.</w:t>
            </w:r>
            <w:r w:rsidR="002B3425">
              <w:rPr>
                <w:rFonts w:ascii="Cambria" w:hAnsi="Cambria"/>
                <w:sz w:val="20"/>
                <w:szCs w:val="20"/>
              </w:rPr>
              <w:t xml:space="preserve"> </w:t>
            </w:r>
            <w:r w:rsidR="002B3425" w:rsidRPr="002B3425">
              <w:rPr>
                <w:rFonts w:ascii="Cambria" w:hAnsi="Cambria"/>
                <w:sz w:val="20"/>
                <w:szCs w:val="20"/>
              </w:rPr>
              <w:t xml:space="preserve">At least one Senior Personnel </w:t>
            </w:r>
            <w:r w:rsidR="002B3425" w:rsidRPr="002B3425">
              <w:rPr>
                <w:rFonts w:ascii="Cambria" w:hAnsi="Cambria"/>
                <w:b/>
                <w:i/>
                <w:sz w:val="20"/>
                <w:szCs w:val="20"/>
              </w:rPr>
              <w:t>must</w:t>
            </w:r>
            <w:r w:rsidR="002B3425" w:rsidRPr="002B3425">
              <w:rPr>
                <w:rFonts w:ascii="Cambria" w:hAnsi="Cambria"/>
                <w:sz w:val="20"/>
                <w:szCs w:val="20"/>
              </w:rPr>
              <w:t xml:space="preserve"> devote at least 1 percent effort each budget period over the term of the award.</w:t>
            </w:r>
          </w:p>
        </w:tc>
      </w:tr>
      <w:tr w:rsidR="00E53F00" w:rsidRPr="00A358E4" w:rsidTr="00CF7E57">
        <w:trPr>
          <w:gridAfter w:val="1"/>
          <w:wAfter w:w="238" w:type="dxa"/>
          <w:trHeight w:val="727"/>
        </w:trPr>
        <w:tc>
          <w:tcPr>
            <w:tcW w:w="10957" w:type="dxa"/>
            <w:gridSpan w:val="4"/>
          </w:tcPr>
          <w:p w:rsidR="00E53F00" w:rsidRPr="00A97AD2" w:rsidRDefault="00E53F00" w:rsidP="00E53F00">
            <w:pPr>
              <w:rPr>
                <w:rFonts w:ascii="Cambria" w:hAnsi="Cambria"/>
                <w:sz w:val="20"/>
                <w:szCs w:val="20"/>
              </w:rPr>
            </w:pPr>
            <w:r w:rsidRPr="00A97AD2">
              <w:rPr>
                <w:rFonts w:ascii="Cambria" w:hAnsi="Cambria"/>
                <w:b/>
                <w:sz w:val="20"/>
                <w:szCs w:val="20"/>
              </w:rPr>
              <w:t>NASA</w:t>
            </w:r>
            <w:r w:rsidRPr="00A97AD2">
              <w:rPr>
                <w:rFonts w:ascii="Cambria" w:hAnsi="Cambria"/>
                <w:sz w:val="20"/>
                <w:szCs w:val="20"/>
              </w:rPr>
              <w:t xml:space="preserve">: In certain research announcements, NASA </w:t>
            </w:r>
            <w:r w:rsidRPr="00A97AD2">
              <w:rPr>
                <w:rFonts w:ascii="Cambria" w:hAnsi="Cambria"/>
                <w:b/>
                <w:i/>
                <w:sz w:val="20"/>
                <w:szCs w:val="20"/>
              </w:rPr>
              <w:t>may</w:t>
            </w:r>
            <w:r w:rsidRPr="00A97AD2">
              <w:rPr>
                <w:rFonts w:ascii="Cambria" w:hAnsi="Cambria"/>
                <w:sz w:val="20"/>
                <w:szCs w:val="20"/>
              </w:rPr>
              <w:t xml:space="preserve"> limit the amount of direct salary for an investigator on a grant to Executive Level II of the Federal Executive Pay scale. The Executive Level II salary is $189,600 as of January 2018.</w:t>
            </w:r>
          </w:p>
        </w:tc>
      </w:tr>
      <w:tr w:rsidR="00A97AD2" w:rsidRPr="00A358E4" w:rsidTr="00CF7E57">
        <w:trPr>
          <w:gridAfter w:val="1"/>
          <w:wAfter w:w="238" w:type="dxa"/>
          <w:trHeight w:val="960"/>
        </w:trPr>
        <w:tc>
          <w:tcPr>
            <w:tcW w:w="10957" w:type="dxa"/>
            <w:gridSpan w:val="4"/>
          </w:tcPr>
          <w:p w:rsidR="00A97AD2" w:rsidRDefault="00A97AD2" w:rsidP="000D434D">
            <w:pPr>
              <w:rPr>
                <w:rFonts w:ascii="Cambria" w:hAnsi="Cambria"/>
                <w:sz w:val="20"/>
                <w:szCs w:val="20"/>
              </w:rPr>
            </w:pPr>
            <w:r>
              <w:rPr>
                <w:rFonts w:ascii="Cambria" w:hAnsi="Cambria"/>
                <w:sz w:val="20"/>
                <w:szCs w:val="20"/>
              </w:rPr>
              <w:t>US Department of Defense:</w:t>
            </w:r>
          </w:p>
          <w:p w:rsidR="001440DF" w:rsidRDefault="001440DF" w:rsidP="001440DF">
            <w:pPr>
              <w:ind w:left="720"/>
              <w:rPr>
                <w:rFonts w:ascii="Cambria" w:hAnsi="Cambria"/>
                <w:sz w:val="20"/>
                <w:szCs w:val="20"/>
              </w:rPr>
            </w:pPr>
            <w:r>
              <w:rPr>
                <w:rFonts w:ascii="Cambria" w:hAnsi="Cambria"/>
                <w:sz w:val="20"/>
                <w:szCs w:val="20"/>
              </w:rPr>
              <w:t>AFOSR</w:t>
            </w:r>
          </w:p>
          <w:p w:rsidR="001440DF" w:rsidRDefault="001440DF" w:rsidP="001440DF">
            <w:pPr>
              <w:ind w:left="720"/>
              <w:rPr>
                <w:rFonts w:ascii="Cambria" w:hAnsi="Cambria"/>
                <w:sz w:val="20"/>
                <w:szCs w:val="20"/>
              </w:rPr>
            </w:pPr>
            <w:r>
              <w:rPr>
                <w:rFonts w:ascii="Cambria" w:hAnsi="Cambria"/>
                <w:sz w:val="20"/>
                <w:szCs w:val="20"/>
              </w:rPr>
              <w:t>ARO</w:t>
            </w:r>
          </w:p>
          <w:p w:rsidR="001440DF" w:rsidRPr="00A97AD2" w:rsidRDefault="001440DF" w:rsidP="001440DF">
            <w:pPr>
              <w:ind w:left="720"/>
              <w:rPr>
                <w:rFonts w:ascii="Cambria" w:hAnsi="Cambria"/>
                <w:sz w:val="20"/>
                <w:szCs w:val="20"/>
              </w:rPr>
            </w:pPr>
            <w:r>
              <w:rPr>
                <w:rFonts w:ascii="Cambria" w:hAnsi="Cambria"/>
                <w:sz w:val="20"/>
                <w:szCs w:val="20"/>
              </w:rPr>
              <w:t>ONR</w:t>
            </w:r>
          </w:p>
        </w:tc>
      </w:tr>
      <w:tr w:rsidR="002B3425" w:rsidRPr="00A358E4" w:rsidTr="00CF7E57">
        <w:trPr>
          <w:gridAfter w:val="1"/>
          <w:wAfter w:w="238" w:type="dxa"/>
          <w:trHeight w:val="231"/>
        </w:trPr>
        <w:tc>
          <w:tcPr>
            <w:tcW w:w="10957" w:type="dxa"/>
            <w:gridSpan w:val="4"/>
          </w:tcPr>
          <w:p w:rsidR="002B3425" w:rsidRPr="00A97AD2" w:rsidRDefault="002B3425" w:rsidP="000D434D">
            <w:pPr>
              <w:rPr>
                <w:rFonts w:ascii="Cambria" w:hAnsi="Cambria"/>
                <w:sz w:val="20"/>
                <w:szCs w:val="20"/>
              </w:rPr>
            </w:pPr>
            <w:r w:rsidRPr="00A97AD2">
              <w:rPr>
                <w:rFonts w:ascii="Cambria" w:hAnsi="Cambria"/>
                <w:sz w:val="20"/>
                <w:szCs w:val="20"/>
              </w:rPr>
              <w:t xml:space="preserve">US </w:t>
            </w:r>
            <w:r w:rsidR="007C492D" w:rsidRPr="00A97AD2">
              <w:rPr>
                <w:rFonts w:ascii="Cambria" w:hAnsi="Cambria"/>
                <w:sz w:val="20"/>
                <w:szCs w:val="20"/>
              </w:rPr>
              <w:t>Dept.</w:t>
            </w:r>
            <w:r w:rsidRPr="00A97AD2">
              <w:rPr>
                <w:rFonts w:ascii="Cambria" w:hAnsi="Cambria"/>
                <w:sz w:val="20"/>
                <w:szCs w:val="20"/>
              </w:rPr>
              <w:t xml:space="preserve"> of Energy</w:t>
            </w:r>
            <w:r w:rsidR="00A97AD2">
              <w:rPr>
                <w:rFonts w:ascii="Cambria" w:hAnsi="Cambria"/>
                <w:sz w:val="20"/>
                <w:szCs w:val="20"/>
              </w:rPr>
              <w:t>:</w:t>
            </w:r>
          </w:p>
        </w:tc>
      </w:tr>
      <w:tr w:rsidR="002B3425" w:rsidRPr="00A358E4" w:rsidTr="00CF7E57">
        <w:trPr>
          <w:gridAfter w:val="1"/>
          <w:wAfter w:w="238" w:type="dxa"/>
          <w:trHeight w:val="247"/>
        </w:trPr>
        <w:tc>
          <w:tcPr>
            <w:tcW w:w="10957" w:type="dxa"/>
            <w:gridSpan w:val="4"/>
          </w:tcPr>
          <w:p w:rsidR="002B3425" w:rsidRPr="00A97AD2" w:rsidRDefault="002B3425" w:rsidP="000D434D">
            <w:pPr>
              <w:rPr>
                <w:rFonts w:ascii="Cambria" w:hAnsi="Cambria"/>
                <w:sz w:val="20"/>
                <w:szCs w:val="20"/>
              </w:rPr>
            </w:pPr>
            <w:r w:rsidRPr="00A97AD2">
              <w:rPr>
                <w:rFonts w:ascii="Cambria" w:hAnsi="Cambria"/>
                <w:sz w:val="20"/>
                <w:szCs w:val="20"/>
              </w:rPr>
              <w:t xml:space="preserve">US </w:t>
            </w:r>
            <w:r w:rsidR="007C492D" w:rsidRPr="00A97AD2">
              <w:rPr>
                <w:rFonts w:ascii="Cambria" w:hAnsi="Cambria"/>
                <w:sz w:val="20"/>
                <w:szCs w:val="20"/>
              </w:rPr>
              <w:t>Dept.</w:t>
            </w:r>
            <w:r w:rsidRPr="00A97AD2">
              <w:rPr>
                <w:rFonts w:ascii="Cambria" w:hAnsi="Cambria"/>
                <w:sz w:val="20"/>
                <w:szCs w:val="20"/>
              </w:rPr>
              <w:t xml:space="preserve"> of Transportation</w:t>
            </w:r>
            <w:r w:rsidR="00A97AD2">
              <w:rPr>
                <w:rFonts w:ascii="Cambria" w:hAnsi="Cambria"/>
                <w:sz w:val="20"/>
                <w:szCs w:val="20"/>
              </w:rPr>
              <w:t>:</w:t>
            </w:r>
          </w:p>
        </w:tc>
      </w:tr>
      <w:tr w:rsidR="002B3425" w:rsidRPr="00A358E4" w:rsidTr="00CF7E57">
        <w:trPr>
          <w:gridAfter w:val="1"/>
          <w:wAfter w:w="238" w:type="dxa"/>
          <w:trHeight w:val="231"/>
        </w:trPr>
        <w:tc>
          <w:tcPr>
            <w:tcW w:w="10957" w:type="dxa"/>
            <w:gridSpan w:val="4"/>
          </w:tcPr>
          <w:p w:rsidR="002B3425" w:rsidRPr="00A97AD2" w:rsidRDefault="001D1083" w:rsidP="000D434D">
            <w:pPr>
              <w:rPr>
                <w:rFonts w:ascii="Cambria" w:hAnsi="Cambria"/>
                <w:sz w:val="20"/>
                <w:szCs w:val="20"/>
              </w:rPr>
            </w:pPr>
            <w:r w:rsidRPr="00A97AD2">
              <w:rPr>
                <w:rFonts w:ascii="Cambria" w:hAnsi="Cambria"/>
                <w:sz w:val="20"/>
                <w:szCs w:val="20"/>
              </w:rPr>
              <w:t>National Institute of Aerospace</w:t>
            </w:r>
            <w:r w:rsidR="00A97AD2">
              <w:rPr>
                <w:rFonts w:ascii="Cambria" w:hAnsi="Cambria"/>
                <w:sz w:val="20"/>
                <w:szCs w:val="20"/>
              </w:rPr>
              <w:t>:</w:t>
            </w:r>
            <w:r w:rsidR="002B3425" w:rsidRPr="00A97AD2">
              <w:rPr>
                <w:rFonts w:ascii="Cambria" w:hAnsi="Cambria"/>
                <w:sz w:val="20"/>
                <w:szCs w:val="20"/>
              </w:rPr>
              <w:t xml:space="preserve"> </w:t>
            </w:r>
          </w:p>
        </w:tc>
      </w:tr>
      <w:tr w:rsidR="001440DF" w:rsidRPr="00A358E4" w:rsidTr="00CF7E57">
        <w:trPr>
          <w:gridAfter w:val="1"/>
          <w:wAfter w:w="238" w:type="dxa"/>
          <w:trHeight w:val="263"/>
        </w:trPr>
        <w:tc>
          <w:tcPr>
            <w:tcW w:w="10957" w:type="dxa"/>
            <w:gridSpan w:val="4"/>
            <w:shd w:val="clear" w:color="auto" w:fill="FFD966" w:themeFill="accent4" w:themeFillTint="99"/>
          </w:tcPr>
          <w:p w:rsidR="001440DF" w:rsidRPr="001440DF" w:rsidRDefault="001440DF" w:rsidP="001440DF">
            <w:pPr>
              <w:jc w:val="center"/>
              <w:rPr>
                <w:rFonts w:ascii="Arial Narrow" w:hAnsi="Arial Narrow"/>
                <w:b/>
              </w:rPr>
            </w:pPr>
            <w:r w:rsidRPr="001440DF">
              <w:rPr>
                <w:rFonts w:ascii="Arial Narrow" w:hAnsi="Arial Narrow"/>
                <w:b/>
              </w:rPr>
              <w:t>ESCALATION FACTORS FOR PROPOSAL BUDGETS</w:t>
            </w:r>
          </w:p>
        </w:tc>
      </w:tr>
      <w:tr w:rsidR="001440DF" w:rsidRPr="00A358E4" w:rsidTr="00CF7E57">
        <w:trPr>
          <w:gridAfter w:val="1"/>
          <w:wAfter w:w="238" w:type="dxa"/>
          <w:trHeight w:val="1223"/>
        </w:trPr>
        <w:tc>
          <w:tcPr>
            <w:tcW w:w="10957" w:type="dxa"/>
            <w:gridSpan w:val="4"/>
          </w:tcPr>
          <w:p w:rsidR="009A49BE" w:rsidRDefault="001440DF" w:rsidP="00151172">
            <w:pPr>
              <w:rPr>
                <w:rFonts w:ascii="Cambria" w:hAnsi="Cambria"/>
                <w:sz w:val="20"/>
                <w:szCs w:val="20"/>
              </w:rPr>
            </w:pPr>
            <w:r>
              <w:rPr>
                <w:rFonts w:ascii="Cambria" w:hAnsi="Cambria"/>
                <w:sz w:val="20"/>
                <w:szCs w:val="20"/>
              </w:rPr>
              <w:t>I</w:t>
            </w:r>
            <w:r w:rsidRPr="001440DF">
              <w:rPr>
                <w:rFonts w:ascii="Cambria" w:hAnsi="Cambria"/>
                <w:sz w:val="20"/>
                <w:szCs w:val="20"/>
              </w:rPr>
              <w:t>nclude a reasonable increase in all budget categories to account for</w:t>
            </w:r>
            <w:r>
              <w:rPr>
                <w:rFonts w:ascii="Cambria" w:hAnsi="Cambria"/>
                <w:sz w:val="20"/>
                <w:szCs w:val="20"/>
              </w:rPr>
              <w:t xml:space="preserve"> </w:t>
            </w:r>
            <w:r w:rsidRPr="001440DF">
              <w:rPr>
                <w:rFonts w:ascii="Cambria" w:hAnsi="Cambria"/>
                <w:sz w:val="20"/>
                <w:szCs w:val="20"/>
              </w:rPr>
              <w:t xml:space="preserve">inflation in </w:t>
            </w:r>
            <w:r>
              <w:rPr>
                <w:rFonts w:ascii="Cambria" w:hAnsi="Cambria"/>
                <w:sz w:val="20"/>
                <w:szCs w:val="20"/>
              </w:rPr>
              <w:t>the out years</w:t>
            </w:r>
            <w:r w:rsidRPr="001440DF">
              <w:rPr>
                <w:rFonts w:ascii="Cambria" w:hAnsi="Cambria"/>
                <w:sz w:val="20"/>
                <w:szCs w:val="20"/>
              </w:rPr>
              <w:t xml:space="preserve">. Typical increases for salaries and fringe benefits are 1-3% per year. </w:t>
            </w:r>
          </w:p>
          <w:p w:rsidR="009A49BE" w:rsidRDefault="009A49BE" w:rsidP="00151172">
            <w:pPr>
              <w:rPr>
                <w:rFonts w:ascii="Cambria" w:hAnsi="Cambria"/>
                <w:sz w:val="20"/>
                <w:szCs w:val="20"/>
              </w:rPr>
            </w:pPr>
          </w:p>
          <w:p w:rsidR="001440DF" w:rsidRDefault="001440DF" w:rsidP="00151172">
            <w:pPr>
              <w:rPr>
                <w:rFonts w:ascii="Cambria" w:hAnsi="Cambria"/>
              </w:rPr>
            </w:pPr>
            <w:r w:rsidRPr="001440DF">
              <w:rPr>
                <w:rFonts w:ascii="Cambria" w:hAnsi="Cambria"/>
                <w:sz w:val="20"/>
                <w:szCs w:val="20"/>
              </w:rPr>
              <w:t>Graduate</w:t>
            </w:r>
            <w:r>
              <w:rPr>
                <w:rFonts w:ascii="Cambria" w:hAnsi="Cambria"/>
                <w:sz w:val="20"/>
                <w:szCs w:val="20"/>
              </w:rPr>
              <w:t xml:space="preserve"> </w:t>
            </w:r>
            <w:r w:rsidRPr="001440DF">
              <w:rPr>
                <w:rFonts w:ascii="Cambria" w:hAnsi="Cambria"/>
                <w:sz w:val="20"/>
                <w:szCs w:val="20"/>
              </w:rPr>
              <w:t>Tuition</w:t>
            </w:r>
            <w:r w:rsidR="00151172" w:rsidRPr="00151172">
              <w:rPr>
                <w:rFonts w:ascii="Cambria" w:hAnsi="Cambria"/>
                <w:sz w:val="20"/>
                <w:szCs w:val="20"/>
              </w:rPr>
              <w:t xml:space="preserve"> </w:t>
            </w:r>
            <w:r w:rsidR="009A49BE" w:rsidRPr="009A49BE">
              <w:rPr>
                <w:rFonts w:ascii="Cambria" w:hAnsi="Cambria"/>
                <w:b/>
                <w:color w:val="00B0F0"/>
                <w:sz w:val="20"/>
                <w:szCs w:val="20"/>
              </w:rPr>
              <w:t>($1,526 monthly)</w:t>
            </w:r>
            <w:r w:rsidR="009A49BE" w:rsidRPr="009A49BE">
              <w:rPr>
                <w:rFonts w:ascii="Cambria" w:hAnsi="Cambria"/>
                <w:color w:val="00B0F0"/>
                <w:sz w:val="20"/>
                <w:szCs w:val="20"/>
              </w:rPr>
              <w:t xml:space="preserve"> </w:t>
            </w:r>
            <w:r w:rsidR="00151172" w:rsidRPr="00151172">
              <w:rPr>
                <w:rFonts w:ascii="Cambria" w:hAnsi="Cambria"/>
                <w:sz w:val="20"/>
                <w:szCs w:val="20"/>
              </w:rPr>
              <w:t>Remission and Escalation Factor</w:t>
            </w:r>
            <w:r w:rsidRPr="001440DF">
              <w:rPr>
                <w:rFonts w:ascii="Cambria" w:hAnsi="Cambria"/>
                <w:sz w:val="20"/>
                <w:szCs w:val="20"/>
              </w:rPr>
              <w:t xml:space="preserve"> suggests a </w:t>
            </w:r>
            <w:r w:rsidR="00151172">
              <w:rPr>
                <w:rFonts w:ascii="Cambria" w:hAnsi="Cambria"/>
                <w:sz w:val="20"/>
                <w:szCs w:val="20"/>
              </w:rPr>
              <w:t>5</w:t>
            </w:r>
            <w:r w:rsidRPr="001440DF">
              <w:rPr>
                <w:rFonts w:ascii="Cambria" w:hAnsi="Cambria"/>
                <w:sz w:val="20"/>
                <w:szCs w:val="20"/>
              </w:rPr>
              <w:t>% escalation factor. Escalation rates may be limited by the sponsor. Consult the</w:t>
            </w:r>
            <w:r>
              <w:rPr>
                <w:rFonts w:ascii="Cambria" w:hAnsi="Cambria"/>
                <w:sz w:val="20"/>
                <w:szCs w:val="20"/>
              </w:rPr>
              <w:t xml:space="preserve"> </w:t>
            </w:r>
            <w:r w:rsidRPr="001440DF">
              <w:rPr>
                <w:rFonts w:ascii="Cambria" w:hAnsi="Cambria"/>
                <w:sz w:val="20"/>
                <w:szCs w:val="20"/>
              </w:rPr>
              <w:t>sponsor’s guidelines</w:t>
            </w:r>
            <w:r w:rsidRPr="001440DF">
              <w:rPr>
                <w:rFonts w:ascii="Cambria" w:hAnsi="Cambria"/>
              </w:rPr>
              <w:t>.</w:t>
            </w:r>
          </w:p>
          <w:p w:rsidR="00CF7E57" w:rsidRDefault="00CF7E57" w:rsidP="00151172">
            <w:pPr>
              <w:rPr>
                <w:rFonts w:ascii="Cambria" w:hAnsi="Cambria"/>
              </w:rPr>
            </w:pPr>
          </w:p>
          <w:p w:rsidR="00A95EED" w:rsidRPr="00A358E4" w:rsidRDefault="00A95EED" w:rsidP="00151172">
            <w:pPr>
              <w:rPr>
                <w:rFonts w:ascii="Cambria" w:hAnsi="Cambria"/>
              </w:rPr>
            </w:pPr>
          </w:p>
        </w:tc>
      </w:tr>
      <w:tr w:rsidR="009A49BE" w:rsidRPr="00A358E4" w:rsidTr="00CF7E57">
        <w:trPr>
          <w:gridAfter w:val="1"/>
          <w:wAfter w:w="238" w:type="dxa"/>
          <w:trHeight w:val="247"/>
        </w:trPr>
        <w:tc>
          <w:tcPr>
            <w:tcW w:w="10957" w:type="dxa"/>
            <w:gridSpan w:val="4"/>
            <w:shd w:val="clear" w:color="auto" w:fill="FFD966" w:themeFill="accent4" w:themeFillTint="99"/>
          </w:tcPr>
          <w:p w:rsidR="009A49BE" w:rsidRPr="009A49BE" w:rsidRDefault="009A49BE" w:rsidP="002177DC">
            <w:pPr>
              <w:jc w:val="center"/>
              <w:rPr>
                <w:rFonts w:ascii="Arial Narrow" w:hAnsi="Arial Narrow"/>
                <w:b/>
              </w:rPr>
            </w:pPr>
            <w:r w:rsidRPr="009A49BE">
              <w:rPr>
                <w:rFonts w:ascii="Arial Narrow" w:hAnsi="Arial Narrow"/>
                <w:b/>
              </w:rPr>
              <w:lastRenderedPageBreak/>
              <w:t xml:space="preserve">FRINGE BENEFITS </w:t>
            </w:r>
            <w:bookmarkStart w:id="0" w:name="_GoBack"/>
            <w:bookmarkEnd w:id="0"/>
          </w:p>
        </w:tc>
      </w:tr>
      <w:tr w:rsidR="00151172" w:rsidRPr="00A358E4" w:rsidTr="00CF7E57">
        <w:trPr>
          <w:gridAfter w:val="1"/>
          <w:wAfter w:w="238" w:type="dxa"/>
          <w:trHeight w:val="479"/>
        </w:trPr>
        <w:tc>
          <w:tcPr>
            <w:tcW w:w="10957" w:type="dxa"/>
            <w:gridSpan w:val="4"/>
          </w:tcPr>
          <w:p w:rsidR="009A49BE" w:rsidRPr="009A49BE" w:rsidRDefault="009A49BE" w:rsidP="009A49BE">
            <w:pPr>
              <w:rPr>
                <w:rFonts w:ascii="Cambria" w:hAnsi="Cambria"/>
                <w:sz w:val="20"/>
                <w:szCs w:val="20"/>
              </w:rPr>
            </w:pPr>
            <w:r>
              <w:rPr>
                <w:rFonts w:ascii="Cambria" w:hAnsi="Cambria"/>
                <w:sz w:val="20"/>
                <w:szCs w:val="20"/>
              </w:rPr>
              <w:t>F</w:t>
            </w:r>
            <w:r w:rsidRPr="009A49BE">
              <w:rPr>
                <w:rFonts w:ascii="Cambria" w:hAnsi="Cambria"/>
                <w:sz w:val="20"/>
                <w:szCs w:val="20"/>
              </w:rPr>
              <w:t xml:space="preserve">ull Benefits:  </w:t>
            </w:r>
            <w:r w:rsidRPr="009A49BE">
              <w:rPr>
                <w:rFonts w:ascii="Cambria" w:hAnsi="Cambria"/>
                <w:b/>
                <w:color w:val="00B0F0"/>
                <w:sz w:val="20"/>
                <w:szCs w:val="20"/>
              </w:rPr>
              <w:t>29.8%</w:t>
            </w:r>
            <w:r w:rsidRPr="009A49BE">
              <w:rPr>
                <w:rFonts w:ascii="Cambria" w:hAnsi="Cambria"/>
                <w:color w:val="00B0F0"/>
                <w:sz w:val="20"/>
                <w:szCs w:val="20"/>
              </w:rPr>
              <w:t xml:space="preserve"> </w:t>
            </w:r>
            <w:r w:rsidRPr="009A49BE">
              <w:rPr>
                <w:rFonts w:ascii="Cambria" w:hAnsi="Cambria"/>
                <w:sz w:val="20"/>
                <w:szCs w:val="20"/>
              </w:rPr>
              <w:t>Salaries and wages of (</w:t>
            </w:r>
            <w:proofErr w:type="spellStart"/>
            <w:r w:rsidRPr="009A49BE">
              <w:rPr>
                <w:rFonts w:ascii="Cambria" w:hAnsi="Cambria"/>
                <w:sz w:val="20"/>
                <w:szCs w:val="20"/>
              </w:rPr>
              <w:t>i</w:t>
            </w:r>
            <w:proofErr w:type="spellEnd"/>
            <w:r w:rsidRPr="009A49BE">
              <w:rPr>
                <w:rFonts w:ascii="Cambria" w:hAnsi="Cambria"/>
                <w:sz w:val="20"/>
                <w:szCs w:val="20"/>
              </w:rPr>
              <w:t>) regular full-time faculty, (ii) principal investigators, (iii) professional and administrative staff, (iv) joint staff, (v) temporary academic or research professionals participating in Institute retirement programs and group health and life insurance, (vi) biweekly permanent employees and (vii) part-time employees who work at least 75 percent but less than 100 percent of full-time work schedule.</w:t>
            </w:r>
          </w:p>
          <w:p w:rsidR="009A49BE" w:rsidRPr="009A49BE" w:rsidRDefault="009A49BE" w:rsidP="009A49BE">
            <w:pPr>
              <w:rPr>
                <w:rFonts w:ascii="Cambria" w:hAnsi="Cambria"/>
                <w:sz w:val="20"/>
                <w:szCs w:val="20"/>
              </w:rPr>
            </w:pPr>
          </w:p>
          <w:p w:rsidR="009A49BE" w:rsidRPr="009A49BE" w:rsidRDefault="009A49BE" w:rsidP="009A49BE">
            <w:pPr>
              <w:rPr>
                <w:rFonts w:ascii="Cambria" w:hAnsi="Cambria"/>
                <w:sz w:val="20"/>
                <w:szCs w:val="20"/>
              </w:rPr>
            </w:pPr>
            <w:r w:rsidRPr="009A49BE">
              <w:rPr>
                <w:rFonts w:ascii="Cambria" w:hAnsi="Cambria"/>
                <w:sz w:val="20"/>
                <w:szCs w:val="20"/>
              </w:rPr>
              <w:t xml:space="preserve">Limited Benefits: </w:t>
            </w:r>
            <w:r w:rsidRPr="009A49BE">
              <w:rPr>
                <w:rFonts w:ascii="Cambria" w:hAnsi="Cambria"/>
                <w:b/>
                <w:color w:val="00B0F0"/>
                <w:sz w:val="20"/>
                <w:szCs w:val="20"/>
              </w:rPr>
              <w:t>20.8%</w:t>
            </w:r>
            <w:r w:rsidRPr="009A49BE">
              <w:rPr>
                <w:rFonts w:ascii="Cambria" w:hAnsi="Cambria"/>
                <w:color w:val="00B0F0"/>
                <w:sz w:val="20"/>
                <w:szCs w:val="20"/>
              </w:rPr>
              <w:t xml:space="preserve"> </w:t>
            </w:r>
            <w:r w:rsidRPr="009A49BE">
              <w:rPr>
                <w:rFonts w:ascii="Cambria" w:hAnsi="Cambria"/>
                <w:sz w:val="20"/>
                <w:szCs w:val="20"/>
              </w:rPr>
              <w:t>Salaries and wages of part-time employees who work at least 50 percent but less than 75 percent of a full-time work schedule.</w:t>
            </w:r>
          </w:p>
          <w:p w:rsidR="009A49BE" w:rsidRPr="009A49BE" w:rsidRDefault="009A49BE" w:rsidP="009A49BE">
            <w:pPr>
              <w:rPr>
                <w:rFonts w:ascii="Cambria" w:hAnsi="Cambria"/>
                <w:sz w:val="20"/>
                <w:szCs w:val="20"/>
              </w:rPr>
            </w:pPr>
          </w:p>
          <w:p w:rsidR="009A49BE" w:rsidRPr="009A49BE" w:rsidRDefault="009A49BE" w:rsidP="009A49BE">
            <w:pPr>
              <w:rPr>
                <w:rFonts w:ascii="Cambria" w:hAnsi="Cambria"/>
                <w:sz w:val="20"/>
                <w:szCs w:val="20"/>
              </w:rPr>
            </w:pPr>
            <w:r w:rsidRPr="009A49BE">
              <w:rPr>
                <w:rFonts w:ascii="Cambria" w:hAnsi="Cambria"/>
                <w:sz w:val="20"/>
                <w:szCs w:val="20"/>
              </w:rPr>
              <w:t xml:space="preserve">Partial Benefits: </w:t>
            </w:r>
            <w:r w:rsidRPr="009A49BE">
              <w:rPr>
                <w:rFonts w:ascii="Cambria" w:hAnsi="Cambria"/>
                <w:b/>
                <w:color w:val="00B0F0"/>
                <w:sz w:val="20"/>
                <w:szCs w:val="20"/>
              </w:rPr>
              <w:t>1.4%</w:t>
            </w:r>
            <w:r w:rsidRPr="009A49BE">
              <w:rPr>
                <w:rFonts w:ascii="Cambria" w:hAnsi="Cambria"/>
                <w:color w:val="00B0F0"/>
                <w:sz w:val="20"/>
                <w:szCs w:val="20"/>
              </w:rPr>
              <w:t xml:space="preserve"> </w:t>
            </w:r>
            <w:r w:rsidRPr="009A49BE">
              <w:rPr>
                <w:rFonts w:ascii="Cambria" w:hAnsi="Cambria"/>
                <w:sz w:val="20"/>
                <w:szCs w:val="20"/>
              </w:rPr>
              <w:t>Salaries and wages of employees who participate in all or part of the Social Security program but do not participate in retirement or group health and life insurance plans. This rate covers (</w:t>
            </w:r>
            <w:proofErr w:type="spellStart"/>
            <w:r w:rsidRPr="009A49BE">
              <w:rPr>
                <w:rFonts w:ascii="Cambria" w:hAnsi="Cambria"/>
                <w:sz w:val="20"/>
                <w:szCs w:val="20"/>
              </w:rPr>
              <w:t>i</w:t>
            </w:r>
            <w:proofErr w:type="spellEnd"/>
            <w:r w:rsidRPr="009A49BE">
              <w:rPr>
                <w:rFonts w:ascii="Cambria" w:hAnsi="Cambria"/>
                <w:sz w:val="20"/>
                <w:szCs w:val="20"/>
              </w:rPr>
              <w:t>) temporary classified persons, (ii) temporary academic or research professionals not eligible for the retirement programs or group health or life insurance coverage, (iii) student employees who are registered for less than a full academic load, and (iv) part-time employees employed for less than 50 percent of a full work schedule.</w:t>
            </w:r>
          </w:p>
          <w:p w:rsidR="009A49BE" w:rsidRPr="009A49BE" w:rsidRDefault="009A49BE" w:rsidP="009A49BE">
            <w:pPr>
              <w:rPr>
                <w:rFonts w:ascii="Cambria" w:hAnsi="Cambria"/>
                <w:sz w:val="20"/>
                <w:szCs w:val="20"/>
              </w:rPr>
            </w:pPr>
          </w:p>
          <w:p w:rsidR="009A49BE" w:rsidRPr="00A358E4" w:rsidRDefault="009A49BE" w:rsidP="009A49BE">
            <w:pPr>
              <w:rPr>
                <w:rFonts w:ascii="Cambria" w:hAnsi="Cambria"/>
              </w:rPr>
            </w:pPr>
            <w:r w:rsidRPr="009A49BE">
              <w:rPr>
                <w:rFonts w:ascii="Cambria" w:hAnsi="Cambria"/>
                <w:sz w:val="20"/>
                <w:szCs w:val="20"/>
              </w:rPr>
              <w:t xml:space="preserve">Grad Student Health: </w:t>
            </w:r>
            <w:r w:rsidRPr="009A49BE">
              <w:rPr>
                <w:rFonts w:ascii="Cambria" w:hAnsi="Cambria"/>
                <w:b/>
                <w:color w:val="00B0F0"/>
                <w:sz w:val="20"/>
                <w:szCs w:val="20"/>
              </w:rPr>
              <w:t>6.5%</w:t>
            </w:r>
            <w:r w:rsidRPr="009A49BE">
              <w:rPr>
                <w:rFonts w:ascii="Cambria" w:hAnsi="Cambria"/>
                <w:color w:val="00B0F0"/>
                <w:sz w:val="20"/>
                <w:szCs w:val="20"/>
              </w:rPr>
              <w:t xml:space="preserve"> </w:t>
            </w:r>
            <w:r w:rsidRPr="009A49BE">
              <w:rPr>
                <w:rFonts w:ascii="Cambria" w:hAnsi="Cambria"/>
                <w:sz w:val="20"/>
                <w:szCs w:val="20"/>
              </w:rPr>
              <w:t>Salaries and wages of Graduate Research and Graduate Teaching Assistants who qualify for the graduate tuition remission award and who provide services to GIT at 33% to 50% time while being registered for at least 12 credit hours.</w:t>
            </w:r>
          </w:p>
        </w:tc>
      </w:tr>
      <w:tr w:rsidR="00F55C6E" w:rsidRPr="00A358E4" w:rsidTr="00CF7E57">
        <w:trPr>
          <w:gridAfter w:val="1"/>
          <w:wAfter w:w="238" w:type="dxa"/>
          <w:trHeight w:val="247"/>
        </w:trPr>
        <w:tc>
          <w:tcPr>
            <w:tcW w:w="10957" w:type="dxa"/>
            <w:gridSpan w:val="4"/>
            <w:shd w:val="clear" w:color="auto" w:fill="FFD966" w:themeFill="accent4" w:themeFillTint="99"/>
          </w:tcPr>
          <w:p w:rsidR="00F55C6E" w:rsidRPr="00F55C6E" w:rsidRDefault="00F55C6E" w:rsidP="00F55C6E">
            <w:pPr>
              <w:jc w:val="center"/>
              <w:rPr>
                <w:rFonts w:ascii="Cambria" w:hAnsi="Cambria"/>
                <w:b/>
              </w:rPr>
            </w:pPr>
            <w:r w:rsidRPr="00F55C6E">
              <w:rPr>
                <w:rFonts w:ascii="Arial Narrow" w:hAnsi="Arial Narrow"/>
                <w:b/>
              </w:rPr>
              <w:t>FACILITIES AND ADMINISTRATIVE (F&amp;A) – INDIRECT COST RATE DISTRIBUTION</w:t>
            </w:r>
          </w:p>
        </w:tc>
      </w:tr>
      <w:tr w:rsidR="00F55C6E" w:rsidRPr="00A358E4" w:rsidTr="00CF7E57">
        <w:trPr>
          <w:gridAfter w:val="1"/>
          <w:wAfter w:w="238" w:type="dxa"/>
          <w:trHeight w:val="1456"/>
        </w:trPr>
        <w:tc>
          <w:tcPr>
            <w:tcW w:w="10957" w:type="dxa"/>
            <w:gridSpan w:val="4"/>
          </w:tcPr>
          <w:p w:rsidR="00F55C6E" w:rsidRPr="00F55C6E" w:rsidRDefault="00F55C6E" w:rsidP="000D434D">
            <w:pPr>
              <w:rPr>
                <w:rFonts w:ascii="Cambria" w:hAnsi="Cambria"/>
                <w:sz w:val="20"/>
                <w:szCs w:val="20"/>
              </w:rPr>
            </w:pPr>
            <w:r w:rsidRPr="00F55C6E">
              <w:rPr>
                <w:rFonts w:ascii="Cambria" w:hAnsi="Cambria"/>
                <w:sz w:val="20"/>
                <w:szCs w:val="20"/>
              </w:rPr>
              <w:t xml:space="preserve">Modified Total Direct Cost (MTDC), consisting of all salaries and wages, fringe benefits, materials and supplies, services, travel, and up to the first $25,000 of each </w:t>
            </w:r>
            <w:proofErr w:type="spellStart"/>
            <w:r w:rsidRPr="00F55C6E">
              <w:rPr>
                <w:rFonts w:ascii="Cambria" w:hAnsi="Cambria"/>
                <w:sz w:val="20"/>
                <w:szCs w:val="20"/>
              </w:rPr>
              <w:t>subaward</w:t>
            </w:r>
            <w:proofErr w:type="spellEnd"/>
            <w:r w:rsidRPr="00F55C6E">
              <w:rPr>
                <w:rFonts w:ascii="Cambria" w:hAnsi="Cambria"/>
                <w:sz w:val="20"/>
                <w:szCs w:val="20"/>
              </w:rPr>
              <w:t xml:space="preserve"> (regardless of the period of performance of the </w:t>
            </w:r>
            <w:proofErr w:type="spellStart"/>
            <w:r w:rsidRPr="00F55C6E">
              <w:rPr>
                <w:rFonts w:ascii="Cambria" w:hAnsi="Cambria"/>
                <w:sz w:val="20"/>
                <w:szCs w:val="20"/>
              </w:rPr>
              <w:t>subawards</w:t>
            </w:r>
            <w:proofErr w:type="spellEnd"/>
            <w:r w:rsidRPr="00F55C6E">
              <w:rPr>
                <w:rFonts w:ascii="Cambria" w:hAnsi="Cambria"/>
                <w:sz w:val="20"/>
                <w:szCs w:val="20"/>
              </w:rPr>
              <w:t xml:space="preserve"> under the award</w:t>
            </w:r>
            <w:r w:rsidRPr="00F55C6E">
              <w:rPr>
                <w:rFonts w:ascii="Cambria" w:hAnsi="Cambria"/>
                <w:sz w:val="20"/>
                <w:szCs w:val="20"/>
                <w:u w:val="single"/>
              </w:rPr>
              <w:t xml:space="preserve">). Equipment, capital expenditures, charges for patient care, rental costs, tuition remission, scholarships and fellowships, participant support costs, and the portion of each </w:t>
            </w:r>
            <w:proofErr w:type="spellStart"/>
            <w:r w:rsidRPr="00F55C6E">
              <w:rPr>
                <w:rFonts w:ascii="Cambria" w:hAnsi="Cambria"/>
                <w:sz w:val="20"/>
                <w:szCs w:val="20"/>
                <w:u w:val="single"/>
              </w:rPr>
              <w:t>subaward</w:t>
            </w:r>
            <w:proofErr w:type="spellEnd"/>
            <w:r w:rsidRPr="00F55C6E">
              <w:rPr>
                <w:rFonts w:ascii="Cambria" w:hAnsi="Cambria"/>
                <w:sz w:val="20"/>
                <w:szCs w:val="20"/>
                <w:u w:val="single"/>
              </w:rPr>
              <w:t xml:space="preserve"> in excess of $25,000 shall be excluded from the modified total direct cost base.</w:t>
            </w:r>
            <w:r w:rsidRPr="00F55C6E">
              <w:rPr>
                <w:rFonts w:ascii="Cambria" w:hAnsi="Cambria"/>
                <w:sz w:val="20"/>
                <w:szCs w:val="20"/>
              </w:rPr>
              <w:t xml:space="preserve"> Equipment is defined as having an acquisition cost which equals or exceeds $5,000 and a useful life of more than two years.</w:t>
            </w:r>
          </w:p>
        </w:tc>
      </w:tr>
      <w:tr w:rsidR="00F55C6E" w:rsidRPr="00A358E4" w:rsidTr="00CF7E57">
        <w:trPr>
          <w:gridAfter w:val="1"/>
          <w:wAfter w:w="238" w:type="dxa"/>
          <w:trHeight w:val="960"/>
        </w:trPr>
        <w:tc>
          <w:tcPr>
            <w:tcW w:w="7195" w:type="dxa"/>
            <w:gridSpan w:val="3"/>
          </w:tcPr>
          <w:p w:rsidR="00F55C6E" w:rsidRPr="00CF7E57" w:rsidRDefault="00F55C6E" w:rsidP="00F55C6E">
            <w:pPr>
              <w:rPr>
                <w:rFonts w:ascii="Cambria" w:hAnsi="Cambria"/>
                <w:b/>
                <w:sz w:val="20"/>
                <w:szCs w:val="20"/>
              </w:rPr>
            </w:pPr>
            <w:r w:rsidRPr="00CF7E57">
              <w:rPr>
                <w:rFonts w:ascii="Cambria" w:hAnsi="Cambria"/>
                <w:b/>
                <w:sz w:val="20"/>
                <w:szCs w:val="20"/>
              </w:rPr>
              <w:t xml:space="preserve">Research Capped </w:t>
            </w:r>
          </w:p>
          <w:p w:rsidR="00F55C6E" w:rsidRPr="00F55C6E" w:rsidRDefault="00F55C6E" w:rsidP="00F55C6E">
            <w:pPr>
              <w:rPr>
                <w:rFonts w:ascii="Cambria" w:hAnsi="Cambria"/>
                <w:sz w:val="20"/>
                <w:szCs w:val="20"/>
              </w:rPr>
            </w:pPr>
            <w:r w:rsidRPr="00F55C6E">
              <w:rPr>
                <w:rFonts w:ascii="Cambria" w:hAnsi="Cambria"/>
                <w:sz w:val="20"/>
                <w:szCs w:val="20"/>
              </w:rPr>
              <w:t>Rate applies to all Federal Grants and Contracts.</w:t>
            </w:r>
          </w:p>
          <w:p w:rsidR="00F55C6E" w:rsidRPr="00F55C6E" w:rsidRDefault="00F55C6E" w:rsidP="00F55C6E">
            <w:pPr>
              <w:rPr>
                <w:rFonts w:ascii="Cambria" w:hAnsi="Cambria"/>
                <w:sz w:val="20"/>
                <w:szCs w:val="20"/>
              </w:rPr>
            </w:pPr>
            <w:r w:rsidRPr="00F55C6E">
              <w:rPr>
                <w:rFonts w:ascii="Cambria" w:hAnsi="Cambria"/>
                <w:sz w:val="20"/>
                <w:szCs w:val="20"/>
              </w:rPr>
              <w:t>DoD Exception: This rate applies to all DoD grants, but only DoD's contracts awarded before November 30, 1993</w:t>
            </w:r>
          </w:p>
        </w:tc>
        <w:tc>
          <w:tcPr>
            <w:tcW w:w="3762" w:type="dxa"/>
          </w:tcPr>
          <w:p w:rsidR="00F55C6E" w:rsidRPr="00F55C6E" w:rsidRDefault="00F55C6E" w:rsidP="00F55C6E">
            <w:pPr>
              <w:rPr>
                <w:rFonts w:ascii="Cambria" w:hAnsi="Cambria"/>
                <w:sz w:val="20"/>
                <w:szCs w:val="20"/>
              </w:rPr>
            </w:pPr>
            <w:r w:rsidRPr="00F55C6E">
              <w:rPr>
                <w:rFonts w:ascii="Cambria" w:hAnsi="Cambria"/>
                <w:sz w:val="20"/>
                <w:szCs w:val="20"/>
              </w:rPr>
              <w:t>On-Campus: 57.8%</w:t>
            </w:r>
          </w:p>
          <w:p w:rsidR="00F55C6E" w:rsidRPr="00F55C6E" w:rsidRDefault="00F55C6E" w:rsidP="00F55C6E">
            <w:pPr>
              <w:rPr>
                <w:rFonts w:ascii="Cambria" w:hAnsi="Cambria"/>
                <w:sz w:val="20"/>
                <w:szCs w:val="20"/>
              </w:rPr>
            </w:pPr>
            <w:r w:rsidRPr="00F55C6E">
              <w:rPr>
                <w:rFonts w:ascii="Cambria" w:hAnsi="Cambria"/>
                <w:sz w:val="20"/>
                <w:szCs w:val="20"/>
              </w:rPr>
              <w:t>Off-Campus: 26.0%</w:t>
            </w:r>
          </w:p>
        </w:tc>
      </w:tr>
      <w:tr w:rsidR="00F55C6E" w:rsidRPr="00A358E4" w:rsidTr="00CF7E57">
        <w:trPr>
          <w:gridAfter w:val="1"/>
          <w:wAfter w:w="238" w:type="dxa"/>
          <w:trHeight w:val="960"/>
        </w:trPr>
        <w:tc>
          <w:tcPr>
            <w:tcW w:w="7195" w:type="dxa"/>
            <w:gridSpan w:val="3"/>
          </w:tcPr>
          <w:p w:rsidR="00F55C6E" w:rsidRPr="00CF7E57" w:rsidRDefault="00F55C6E" w:rsidP="00F55C6E">
            <w:pPr>
              <w:rPr>
                <w:rFonts w:ascii="Cambria" w:hAnsi="Cambria"/>
                <w:b/>
                <w:sz w:val="20"/>
                <w:szCs w:val="20"/>
              </w:rPr>
            </w:pPr>
            <w:r w:rsidRPr="00CF7E57">
              <w:rPr>
                <w:rFonts w:ascii="Cambria" w:hAnsi="Cambria"/>
                <w:b/>
                <w:sz w:val="20"/>
                <w:szCs w:val="20"/>
              </w:rPr>
              <w:t xml:space="preserve">Research Uncapped </w:t>
            </w:r>
          </w:p>
          <w:p w:rsidR="00F55C6E" w:rsidRPr="00F55C6E" w:rsidRDefault="00F55C6E" w:rsidP="00F55C6E">
            <w:pPr>
              <w:rPr>
                <w:rFonts w:ascii="Cambria" w:hAnsi="Cambria"/>
                <w:sz w:val="20"/>
                <w:szCs w:val="20"/>
              </w:rPr>
            </w:pPr>
            <w:r w:rsidRPr="00F55C6E">
              <w:rPr>
                <w:rFonts w:ascii="Cambria" w:hAnsi="Cambria"/>
                <w:sz w:val="20"/>
                <w:szCs w:val="20"/>
              </w:rPr>
              <w:t>Rate applies to DoD contracts (and Industry Subcontracts under DoD) awarded on or after November 30, 1993, in accordance with and under the authority of DFARS 231.303(1). See Section II, Part C.</w:t>
            </w:r>
          </w:p>
        </w:tc>
        <w:tc>
          <w:tcPr>
            <w:tcW w:w="3762" w:type="dxa"/>
          </w:tcPr>
          <w:p w:rsidR="00F55C6E" w:rsidRPr="00F55C6E" w:rsidRDefault="00F55C6E" w:rsidP="00F55C6E">
            <w:pPr>
              <w:rPr>
                <w:rFonts w:ascii="Cambria" w:hAnsi="Cambria"/>
                <w:sz w:val="20"/>
                <w:szCs w:val="20"/>
              </w:rPr>
            </w:pPr>
            <w:r w:rsidRPr="00F55C6E">
              <w:rPr>
                <w:rFonts w:ascii="Cambria" w:hAnsi="Cambria"/>
                <w:sz w:val="20"/>
                <w:szCs w:val="20"/>
              </w:rPr>
              <w:t>On-Campus: 62.0%</w:t>
            </w:r>
          </w:p>
          <w:p w:rsidR="00F55C6E" w:rsidRPr="00F55C6E" w:rsidRDefault="00F55C6E" w:rsidP="00F55C6E">
            <w:pPr>
              <w:rPr>
                <w:rFonts w:ascii="Cambria" w:hAnsi="Cambria"/>
                <w:sz w:val="20"/>
                <w:szCs w:val="20"/>
              </w:rPr>
            </w:pPr>
            <w:r w:rsidRPr="00F55C6E">
              <w:rPr>
                <w:rFonts w:ascii="Cambria" w:hAnsi="Cambria"/>
                <w:sz w:val="20"/>
                <w:szCs w:val="20"/>
              </w:rPr>
              <w:t>Off-Campus: 30.2%</w:t>
            </w:r>
          </w:p>
        </w:tc>
      </w:tr>
      <w:tr w:rsidR="00F55C6E" w:rsidRPr="00A358E4" w:rsidTr="00CF7E57">
        <w:trPr>
          <w:gridAfter w:val="1"/>
          <w:wAfter w:w="238" w:type="dxa"/>
          <w:trHeight w:val="231"/>
        </w:trPr>
        <w:tc>
          <w:tcPr>
            <w:tcW w:w="7195" w:type="dxa"/>
            <w:gridSpan w:val="3"/>
          </w:tcPr>
          <w:p w:rsidR="00F55C6E" w:rsidRPr="00CF7E57" w:rsidRDefault="00F55C6E" w:rsidP="00F55C6E">
            <w:pPr>
              <w:rPr>
                <w:rFonts w:ascii="Cambria" w:hAnsi="Cambria"/>
                <w:b/>
                <w:sz w:val="20"/>
                <w:szCs w:val="20"/>
              </w:rPr>
            </w:pPr>
            <w:r w:rsidRPr="00CF7E57">
              <w:rPr>
                <w:rFonts w:ascii="Cambria" w:hAnsi="Cambria"/>
                <w:b/>
                <w:sz w:val="20"/>
                <w:szCs w:val="20"/>
              </w:rPr>
              <w:t>Industrial</w:t>
            </w:r>
          </w:p>
        </w:tc>
        <w:tc>
          <w:tcPr>
            <w:tcW w:w="3762" w:type="dxa"/>
          </w:tcPr>
          <w:p w:rsidR="00F55C6E" w:rsidRPr="00F55C6E" w:rsidRDefault="00F55C6E" w:rsidP="00F55C6E">
            <w:pPr>
              <w:rPr>
                <w:rFonts w:ascii="Cambria" w:hAnsi="Cambria"/>
                <w:sz w:val="20"/>
                <w:szCs w:val="20"/>
              </w:rPr>
            </w:pPr>
            <w:r w:rsidRPr="00F55C6E">
              <w:rPr>
                <w:rFonts w:ascii="Cambria" w:hAnsi="Cambria"/>
                <w:sz w:val="20"/>
                <w:szCs w:val="20"/>
              </w:rPr>
              <w:t>63.8%</w:t>
            </w:r>
          </w:p>
        </w:tc>
      </w:tr>
      <w:tr w:rsidR="00F55C6E" w:rsidRPr="00A358E4" w:rsidTr="00CF7E57">
        <w:trPr>
          <w:gridAfter w:val="1"/>
          <w:wAfter w:w="238" w:type="dxa"/>
          <w:trHeight w:val="975"/>
        </w:trPr>
        <w:tc>
          <w:tcPr>
            <w:tcW w:w="7195" w:type="dxa"/>
            <w:gridSpan w:val="3"/>
            <w:tcBorders>
              <w:bottom w:val="single" w:sz="4" w:space="0" w:color="auto"/>
            </w:tcBorders>
          </w:tcPr>
          <w:p w:rsidR="00F55C6E" w:rsidRPr="00CF7E57" w:rsidRDefault="00F55C6E" w:rsidP="00F55C6E">
            <w:pPr>
              <w:rPr>
                <w:rFonts w:ascii="Cambria" w:hAnsi="Cambria"/>
                <w:b/>
                <w:sz w:val="20"/>
                <w:szCs w:val="20"/>
              </w:rPr>
            </w:pPr>
            <w:r w:rsidRPr="00CF7E57">
              <w:rPr>
                <w:rFonts w:ascii="Cambria" w:hAnsi="Cambria"/>
                <w:b/>
                <w:sz w:val="20"/>
                <w:szCs w:val="20"/>
              </w:rPr>
              <w:t xml:space="preserve">Other Sponsored </w:t>
            </w:r>
          </w:p>
          <w:p w:rsidR="00F55C6E" w:rsidRPr="00F55C6E" w:rsidRDefault="00F55C6E" w:rsidP="00F55C6E">
            <w:pPr>
              <w:rPr>
                <w:rFonts w:ascii="Cambria" w:hAnsi="Cambria"/>
                <w:sz w:val="20"/>
                <w:szCs w:val="20"/>
              </w:rPr>
            </w:pPr>
            <w:r w:rsidRPr="00F55C6E">
              <w:rPr>
                <w:rFonts w:ascii="Cambria" w:hAnsi="Cambria"/>
                <w:sz w:val="20"/>
                <w:szCs w:val="20"/>
              </w:rPr>
              <w:t>Applies to projects that benefit the public with activities other than research &amp; development and instruction. Also used for projects funded by State and Local Government entities in Georgia.</w:t>
            </w:r>
          </w:p>
        </w:tc>
        <w:tc>
          <w:tcPr>
            <w:tcW w:w="3762" w:type="dxa"/>
          </w:tcPr>
          <w:p w:rsidR="00F55C6E" w:rsidRPr="00F55C6E" w:rsidRDefault="00F55C6E" w:rsidP="00F55C6E">
            <w:pPr>
              <w:rPr>
                <w:rFonts w:ascii="Cambria" w:hAnsi="Cambria"/>
                <w:sz w:val="20"/>
                <w:szCs w:val="20"/>
              </w:rPr>
            </w:pPr>
            <w:r w:rsidRPr="00F55C6E">
              <w:rPr>
                <w:rFonts w:ascii="Cambria" w:hAnsi="Cambria"/>
                <w:sz w:val="20"/>
                <w:szCs w:val="20"/>
              </w:rPr>
              <w:t>34.82%</w:t>
            </w:r>
          </w:p>
        </w:tc>
      </w:tr>
      <w:tr w:rsidR="00F55C6E" w:rsidRPr="00A358E4" w:rsidTr="00CF7E57">
        <w:trPr>
          <w:gridAfter w:val="1"/>
          <w:wAfter w:w="238" w:type="dxa"/>
          <w:trHeight w:val="712"/>
        </w:trPr>
        <w:tc>
          <w:tcPr>
            <w:tcW w:w="7195" w:type="dxa"/>
            <w:gridSpan w:val="3"/>
            <w:tcBorders>
              <w:bottom w:val="nil"/>
            </w:tcBorders>
          </w:tcPr>
          <w:p w:rsidR="00F55C6E" w:rsidRPr="00CF7E57" w:rsidRDefault="00F55C6E" w:rsidP="00F55C6E">
            <w:pPr>
              <w:rPr>
                <w:rFonts w:ascii="Cambria" w:hAnsi="Cambria"/>
                <w:b/>
                <w:sz w:val="20"/>
                <w:szCs w:val="20"/>
              </w:rPr>
            </w:pPr>
            <w:r w:rsidRPr="00CF7E57">
              <w:rPr>
                <w:rFonts w:ascii="Cambria" w:hAnsi="Cambria"/>
                <w:b/>
                <w:sz w:val="20"/>
                <w:szCs w:val="20"/>
              </w:rPr>
              <w:t xml:space="preserve">Instruction </w:t>
            </w:r>
          </w:p>
          <w:p w:rsidR="00F55C6E" w:rsidRPr="00F55C6E" w:rsidRDefault="00F55C6E" w:rsidP="00F55C6E">
            <w:pPr>
              <w:rPr>
                <w:rFonts w:ascii="Cambria" w:hAnsi="Cambria"/>
                <w:sz w:val="20"/>
                <w:szCs w:val="20"/>
              </w:rPr>
            </w:pPr>
            <w:r w:rsidRPr="00F55C6E">
              <w:rPr>
                <w:rFonts w:ascii="Cambria" w:hAnsi="Cambria"/>
                <w:sz w:val="20"/>
                <w:szCs w:val="20"/>
              </w:rPr>
              <w:t>Includes sponsored instructional activities such as Georgia Tech Professional Education.</w:t>
            </w:r>
          </w:p>
        </w:tc>
        <w:tc>
          <w:tcPr>
            <w:tcW w:w="3762" w:type="dxa"/>
          </w:tcPr>
          <w:p w:rsidR="00F55C6E" w:rsidRPr="00F55C6E" w:rsidRDefault="00F55C6E" w:rsidP="00F55C6E">
            <w:pPr>
              <w:rPr>
                <w:rFonts w:ascii="Cambria" w:hAnsi="Cambria"/>
                <w:sz w:val="20"/>
                <w:szCs w:val="20"/>
              </w:rPr>
            </w:pPr>
            <w:r w:rsidRPr="00F55C6E">
              <w:rPr>
                <w:rFonts w:ascii="Cambria" w:hAnsi="Cambria"/>
                <w:sz w:val="20"/>
                <w:szCs w:val="20"/>
              </w:rPr>
              <w:t>53.92%</w:t>
            </w:r>
          </w:p>
        </w:tc>
      </w:tr>
      <w:tr w:rsidR="00F55C6E" w:rsidRPr="00F55C6E" w:rsidTr="00CF7E57">
        <w:trPr>
          <w:trHeight w:hRule="exact" w:val="15"/>
        </w:trPr>
        <w:tc>
          <w:tcPr>
            <w:tcW w:w="10957" w:type="dxa"/>
            <w:gridSpan w:val="4"/>
            <w:hideMark/>
          </w:tcPr>
          <w:p w:rsidR="00F55C6E" w:rsidRPr="00F55C6E" w:rsidRDefault="00F55C6E" w:rsidP="00F55C6E">
            <w:pPr>
              <w:spacing w:before="120" w:after="180" w:line="360" w:lineRule="atLeast"/>
              <w:rPr>
                <w:rFonts w:ascii="Cambria" w:eastAsia="Times New Roman" w:hAnsi="Cambria" w:cs="Times New Roman"/>
                <w:color w:val="262626"/>
                <w:spacing w:val="6"/>
                <w:sz w:val="20"/>
                <w:szCs w:val="20"/>
              </w:rPr>
            </w:pPr>
          </w:p>
        </w:tc>
        <w:tc>
          <w:tcPr>
            <w:tcW w:w="238" w:type="dxa"/>
            <w:hideMark/>
          </w:tcPr>
          <w:p w:rsidR="00F55C6E" w:rsidRPr="00F55C6E" w:rsidRDefault="00F55C6E" w:rsidP="00F55C6E">
            <w:pPr>
              <w:rPr>
                <w:rFonts w:ascii="Helvetica" w:eastAsia="Times New Roman" w:hAnsi="Helvetica" w:cs="Times New Roman"/>
                <w:color w:val="262626"/>
                <w:sz w:val="24"/>
                <w:szCs w:val="24"/>
              </w:rPr>
            </w:pPr>
          </w:p>
        </w:tc>
      </w:tr>
    </w:tbl>
    <w:p w:rsidR="008D03A2" w:rsidRPr="008D03A2" w:rsidRDefault="008D03A2" w:rsidP="008D03A2">
      <w:pPr>
        <w:spacing w:line="240" w:lineRule="auto"/>
        <w:rPr>
          <w:rFonts w:ascii="Arial Narrow" w:hAnsi="Arial Narrow"/>
          <w:b/>
          <w:sz w:val="24"/>
          <w:szCs w:val="24"/>
        </w:rPr>
      </w:pPr>
    </w:p>
    <w:sectPr w:rsidR="008D03A2" w:rsidRPr="008D03A2" w:rsidSect="006633B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A2"/>
    <w:rsid w:val="000F4451"/>
    <w:rsid w:val="001440DF"/>
    <w:rsid w:val="00151172"/>
    <w:rsid w:val="00166759"/>
    <w:rsid w:val="001D1083"/>
    <w:rsid w:val="002177DC"/>
    <w:rsid w:val="002B3425"/>
    <w:rsid w:val="006633B0"/>
    <w:rsid w:val="007C492D"/>
    <w:rsid w:val="007C6D4D"/>
    <w:rsid w:val="0088671B"/>
    <w:rsid w:val="008D03A2"/>
    <w:rsid w:val="009A49BE"/>
    <w:rsid w:val="00A358E4"/>
    <w:rsid w:val="00A56AE8"/>
    <w:rsid w:val="00A95EED"/>
    <w:rsid w:val="00A97AD2"/>
    <w:rsid w:val="00CF7E57"/>
    <w:rsid w:val="00E53F00"/>
    <w:rsid w:val="00F5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68FF"/>
  <w15:chartTrackingRefBased/>
  <w15:docId w15:val="{05EE3A67-6477-4EB8-8D09-70DBA7C1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00"/>
  </w:style>
  <w:style w:type="paragraph" w:styleId="Heading6">
    <w:name w:val="heading 6"/>
    <w:basedOn w:val="Normal"/>
    <w:link w:val="Heading6Char"/>
    <w:uiPriority w:val="9"/>
    <w:qFormat/>
    <w:rsid w:val="00F55C6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3B0"/>
    <w:rPr>
      <w:rFonts w:ascii="Segoe UI" w:hAnsi="Segoe UI" w:cs="Segoe UI"/>
      <w:sz w:val="18"/>
      <w:szCs w:val="18"/>
    </w:rPr>
  </w:style>
  <w:style w:type="character" w:customStyle="1" w:styleId="Heading6Char">
    <w:name w:val="Heading 6 Char"/>
    <w:basedOn w:val="DefaultParagraphFont"/>
    <w:link w:val="Heading6"/>
    <w:uiPriority w:val="9"/>
    <w:rsid w:val="00F55C6E"/>
    <w:rPr>
      <w:rFonts w:ascii="Times New Roman" w:eastAsia="Times New Roman" w:hAnsi="Times New Roman" w:cs="Times New Roman"/>
      <w:b/>
      <w:bCs/>
      <w:sz w:val="15"/>
      <w:szCs w:val="15"/>
    </w:rPr>
  </w:style>
  <w:style w:type="character" w:styleId="Strong">
    <w:name w:val="Strong"/>
    <w:basedOn w:val="DefaultParagraphFont"/>
    <w:uiPriority w:val="22"/>
    <w:qFormat/>
    <w:rsid w:val="00F55C6E"/>
    <w:rPr>
      <w:b/>
      <w:bCs/>
    </w:rPr>
  </w:style>
  <w:style w:type="paragraph" w:styleId="NormalWeb">
    <w:name w:val="Normal (Web)"/>
    <w:basedOn w:val="Normal"/>
    <w:uiPriority w:val="99"/>
    <w:semiHidden/>
    <w:unhideWhenUsed/>
    <w:rsid w:val="00F55C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Sherri</dc:creator>
  <cp:keywords/>
  <dc:description/>
  <cp:lastModifiedBy>Williams, Sherri</cp:lastModifiedBy>
  <cp:revision>7</cp:revision>
  <cp:lastPrinted>2018-05-11T14:03:00Z</cp:lastPrinted>
  <dcterms:created xsi:type="dcterms:W3CDTF">2018-05-11T12:04:00Z</dcterms:created>
  <dcterms:modified xsi:type="dcterms:W3CDTF">2018-07-03T11:43:00Z</dcterms:modified>
</cp:coreProperties>
</file>